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EAB" w:rsidRDefault="002C1F7D" w:rsidP="002C1F7D">
      <w:pPr>
        <w:pStyle w:val="textnoindent"/>
        <w:suppressAutoHyphens/>
        <w:jc w:val="center"/>
      </w:pPr>
      <w:r w:rsidRPr="002C1F7D">
        <w:rPr>
          <w:sz w:val="48"/>
        </w:rPr>
        <w:t xml:space="preserve">Evading Moore's Law: </w:t>
      </w:r>
      <w:r>
        <w:rPr>
          <w:sz w:val="48"/>
        </w:rPr>
        <w:br/>
      </w:r>
      <w:r w:rsidRPr="002C1F7D">
        <w:rPr>
          <w:sz w:val="48"/>
        </w:rPr>
        <w:t>Quantum Computing for Operations Research</w:t>
      </w:r>
    </w:p>
    <w:p w:rsidR="00CE1EAB" w:rsidRDefault="00CE1EAB">
      <w:pPr>
        <w:pStyle w:val="textnoindent"/>
        <w:suppressAutoHyphens/>
        <w:spacing w:line="240" w:lineRule="auto"/>
        <w:jc w:val="center"/>
      </w:pPr>
    </w:p>
    <w:p w:rsidR="00A317D6" w:rsidRDefault="00913D77">
      <w:pPr>
        <w:pStyle w:val="textnoindent"/>
        <w:suppressAutoHyphens/>
        <w:spacing w:line="240" w:lineRule="auto"/>
        <w:jc w:val="center"/>
        <w:rPr>
          <w:sz w:val="28"/>
        </w:rPr>
      </w:pPr>
      <w:r>
        <w:rPr>
          <w:sz w:val="28"/>
        </w:rPr>
        <w:t>Robert F. Lucas</w:t>
      </w:r>
    </w:p>
    <w:p w:rsidR="00A317D6" w:rsidRPr="00DD2438" w:rsidRDefault="00913D77" w:rsidP="002621A7">
      <w:pPr>
        <w:pStyle w:val="textnoindent"/>
        <w:suppressAutoHyphens/>
        <w:spacing w:after="60" w:line="240" w:lineRule="auto"/>
        <w:jc w:val="center"/>
        <w:rPr>
          <w:iCs/>
          <w:sz w:val="20"/>
          <w:szCs w:val="20"/>
        </w:rPr>
      </w:pPr>
      <w:r>
        <w:rPr>
          <w:iCs/>
          <w:sz w:val="20"/>
          <w:szCs w:val="20"/>
        </w:rPr>
        <w:t xml:space="preserve">Viturbi School of Engineering and Information Sciences Institute, University of Southern California, </w:t>
      </w:r>
      <w:r w:rsidR="00016B69">
        <w:rPr>
          <w:iCs/>
          <w:sz w:val="20"/>
          <w:szCs w:val="20"/>
        </w:rPr>
        <w:br/>
      </w:r>
      <w:r>
        <w:rPr>
          <w:iCs/>
          <w:sz w:val="20"/>
          <w:szCs w:val="20"/>
        </w:rPr>
        <w:t xml:space="preserve">4676 Admiralty Way, Suite 1001, Marina </w:t>
      </w:r>
      <w:proofErr w:type="gramStart"/>
      <w:r>
        <w:rPr>
          <w:iCs/>
          <w:sz w:val="20"/>
          <w:szCs w:val="20"/>
        </w:rPr>
        <w:t>del</w:t>
      </w:r>
      <w:proofErr w:type="gramEnd"/>
      <w:r>
        <w:rPr>
          <w:iCs/>
          <w:sz w:val="20"/>
          <w:szCs w:val="20"/>
        </w:rPr>
        <w:t xml:space="preserve"> Rey, California, 90292, USA, rflucas@isi.edu</w:t>
      </w:r>
    </w:p>
    <w:p w:rsidR="00CE1EAB" w:rsidRDefault="00016B69">
      <w:pPr>
        <w:pStyle w:val="textnoindent"/>
        <w:suppressAutoHyphens/>
        <w:spacing w:line="240" w:lineRule="auto"/>
        <w:jc w:val="center"/>
        <w:rPr>
          <w:sz w:val="28"/>
        </w:rPr>
      </w:pPr>
      <w:r>
        <w:rPr>
          <w:sz w:val="28"/>
        </w:rPr>
        <w:t>Thomas W. Lucas</w:t>
      </w:r>
    </w:p>
    <w:p w:rsidR="002621A7" w:rsidRPr="002621A7" w:rsidRDefault="00016B69" w:rsidP="002621A7">
      <w:pPr>
        <w:pStyle w:val="textnoindent"/>
        <w:suppressAutoHyphens/>
        <w:spacing w:after="60" w:line="240" w:lineRule="auto"/>
        <w:jc w:val="center"/>
        <w:rPr>
          <w:iCs/>
          <w:sz w:val="20"/>
          <w:szCs w:val="20"/>
        </w:rPr>
      </w:pPr>
      <w:r>
        <w:rPr>
          <w:iCs/>
          <w:sz w:val="20"/>
          <w:szCs w:val="20"/>
        </w:rPr>
        <w:t>Operations Research Department, Naval Postgraduate School</w:t>
      </w:r>
      <w:r w:rsidR="00A317D6" w:rsidRPr="00DD2438">
        <w:rPr>
          <w:iCs/>
          <w:sz w:val="20"/>
          <w:szCs w:val="20"/>
        </w:rPr>
        <w:t xml:space="preserve">, </w:t>
      </w:r>
      <w:r w:rsidR="002621A7" w:rsidRPr="002621A7">
        <w:rPr>
          <w:iCs/>
          <w:sz w:val="20"/>
          <w:szCs w:val="20"/>
        </w:rPr>
        <w:t>Glasgow Hall 236</w:t>
      </w:r>
      <w:r w:rsidR="002621A7">
        <w:rPr>
          <w:iCs/>
          <w:sz w:val="20"/>
          <w:szCs w:val="20"/>
        </w:rPr>
        <w:t xml:space="preserve">, </w:t>
      </w:r>
      <w:r w:rsidR="002621A7">
        <w:rPr>
          <w:iCs/>
          <w:sz w:val="20"/>
          <w:szCs w:val="20"/>
        </w:rPr>
        <w:br/>
      </w:r>
      <w:r w:rsidR="002621A7" w:rsidRPr="002621A7">
        <w:rPr>
          <w:iCs/>
          <w:sz w:val="20"/>
          <w:szCs w:val="20"/>
        </w:rPr>
        <w:t>Monterey, C</w:t>
      </w:r>
      <w:r w:rsidR="002621A7">
        <w:rPr>
          <w:iCs/>
          <w:sz w:val="20"/>
          <w:szCs w:val="20"/>
        </w:rPr>
        <w:t xml:space="preserve">alifornia, </w:t>
      </w:r>
      <w:r w:rsidR="002621A7" w:rsidRPr="002621A7">
        <w:rPr>
          <w:iCs/>
          <w:sz w:val="20"/>
          <w:szCs w:val="20"/>
        </w:rPr>
        <w:t>93943</w:t>
      </w:r>
      <w:r w:rsidR="002621A7">
        <w:rPr>
          <w:iCs/>
          <w:sz w:val="20"/>
          <w:szCs w:val="20"/>
        </w:rPr>
        <w:t>, USA, twlucas@nps.edu</w:t>
      </w:r>
      <w:r w:rsidR="002621A7" w:rsidRPr="002621A7">
        <w:rPr>
          <w:iCs/>
          <w:sz w:val="20"/>
          <w:szCs w:val="20"/>
        </w:rPr>
        <w:t xml:space="preserve"> </w:t>
      </w:r>
    </w:p>
    <w:p w:rsidR="002621A7" w:rsidRDefault="002621A7" w:rsidP="002621A7">
      <w:pPr>
        <w:pStyle w:val="textnoindent"/>
        <w:suppressAutoHyphens/>
        <w:spacing w:line="240" w:lineRule="auto"/>
        <w:jc w:val="center"/>
        <w:rPr>
          <w:sz w:val="28"/>
        </w:rPr>
      </w:pPr>
      <w:r w:rsidRPr="002621A7">
        <w:rPr>
          <w:sz w:val="28"/>
        </w:rPr>
        <w:t xml:space="preserve"> </w:t>
      </w:r>
      <w:r>
        <w:rPr>
          <w:sz w:val="28"/>
        </w:rPr>
        <w:t>Dan M. Davis, John J. Tran, Gene Wagenbreth, &amp;</w:t>
      </w:r>
      <w:r w:rsidR="002C1F7D">
        <w:rPr>
          <w:sz w:val="28"/>
        </w:rPr>
        <w:t xml:space="preserve"> Ke-Thia Yao</w:t>
      </w:r>
      <w:r>
        <w:rPr>
          <w:sz w:val="28"/>
        </w:rPr>
        <w:t xml:space="preserve"> </w:t>
      </w:r>
    </w:p>
    <w:p w:rsidR="002621A7" w:rsidRPr="00DD2438" w:rsidRDefault="002621A7" w:rsidP="002621A7">
      <w:pPr>
        <w:pStyle w:val="textnoindent"/>
        <w:suppressAutoHyphens/>
        <w:spacing w:after="60" w:line="240" w:lineRule="auto"/>
        <w:jc w:val="center"/>
        <w:rPr>
          <w:iCs/>
          <w:sz w:val="20"/>
          <w:szCs w:val="20"/>
        </w:rPr>
      </w:pPr>
      <w:r>
        <w:rPr>
          <w:iCs/>
          <w:sz w:val="20"/>
          <w:szCs w:val="20"/>
        </w:rPr>
        <w:t xml:space="preserve">Information Sciences Institute, University of Southern California, 4676 Admiralty Way, Suite 1001, </w:t>
      </w:r>
      <w:r>
        <w:rPr>
          <w:iCs/>
          <w:sz w:val="20"/>
          <w:szCs w:val="20"/>
        </w:rPr>
        <w:br/>
        <w:t xml:space="preserve">Marina del Rey, California, 90292, USA, </w:t>
      </w:r>
      <w:r w:rsidRPr="002621A7">
        <w:rPr>
          <w:iCs/>
          <w:sz w:val="20"/>
          <w:szCs w:val="20"/>
        </w:rPr>
        <w:t>dmdavis@acm.org</w:t>
      </w:r>
      <w:r>
        <w:rPr>
          <w:iCs/>
          <w:sz w:val="20"/>
          <w:szCs w:val="20"/>
        </w:rPr>
        <w:t xml:space="preserve">, </w:t>
      </w:r>
      <w:r w:rsidR="002C1F7D">
        <w:rPr>
          <w:iCs/>
          <w:sz w:val="20"/>
          <w:szCs w:val="20"/>
        </w:rPr>
        <w:t>jtran@isi.edu,</w:t>
      </w:r>
      <w:r w:rsidR="002C1F7D" w:rsidRPr="002621A7">
        <w:rPr>
          <w:iCs/>
          <w:sz w:val="20"/>
          <w:szCs w:val="20"/>
        </w:rPr>
        <w:t xml:space="preserve"> </w:t>
      </w:r>
      <w:r w:rsidR="002C1F7D" w:rsidRPr="002C1F7D">
        <w:rPr>
          <w:iCs/>
          <w:sz w:val="20"/>
          <w:szCs w:val="20"/>
        </w:rPr>
        <w:t>genew@isi.edu</w:t>
      </w:r>
      <w:r>
        <w:rPr>
          <w:iCs/>
          <w:sz w:val="20"/>
          <w:szCs w:val="20"/>
        </w:rPr>
        <w:t>,</w:t>
      </w:r>
      <w:r w:rsidR="002C1F7D">
        <w:rPr>
          <w:iCs/>
          <w:sz w:val="20"/>
          <w:szCs w:val="20"/>
        </w:rPr>
        <w:t xml:space="preserve"> kyao@isi.edu</w:t>
      </w:r>
    </w:p>
    <w:p w:rsidR="00CE1EAB" w:rsidRDefault="00CE1EAB">
      <w:pPr>
        <w:pStyle w:val="textnoindent"/>
      </w:pPr>
    </w:p>
    <w:p w:rsidR="002C1F7D" w:rsidRDefault="002C1F7D" w:rsidP="002C1F7D">
      <w:pPr>
        <w:pStyle w:val="textnoindent"/>
      </w:pPr>
      <w:r>
        <w:t>The end of Moore’s Law growth impels a review of advanced computing, paying special heed to the real needs and pressing issues of the management science community.  Since the 1970s, the authors have had extensive DoD experience implementing Operations Research applications in mainframe, vector, parallel, GPU-enhanced, cloud, and now, quantum computing.  They discuss the promises and the pitfalls and focus their remarks on how adiabatic quantum annealing will help with decision making and with effective processing of the convoluted data generated by new computer and sensor systems.</w:t>
      </w:r>
    </w:p>
    <w:p w:rsidR="002C1F7D" w:rsidRDefault="002C1F7D" w:rsidP="002C1F7D">
      <w:pPr>
        <w:pStyle w:val="textnoindent"/>
      </w:pPr>
    </w:p>
    <w:p w:rsidR="00CE1EAB" w:rsidRDefault="002C1F7D" w:rsidP="002C1F7D">
      <w:pPr>
        <w:pStyle w:val="textnoindent"/>
      </w:pPr>
      <w:r>
        <w:t>The end of Moore’s Law growth impels a review of advanced computing, paying special heed to the real needs and pressing issues of management scientists.  After four decades of high perfo</w:t>
      </w:r>
      <w:r>
        <w:t>r</w:t>
      </w:r>
      <w:r>
        <w:t>mance computing, the authors now use quantum computing to implement OR applications.  They discuss technology promises and pitfalls, focusing their remarks on how adiabatic quantum a</w:t>
      </w:r>
      <w:r>
        <w:t>n</w:t>
      </w:r>
      <w:r>
        <w:t>nealing will assist DoD decision-making and enable effective processing of the data generated by new computer and sensor systems</w:t>
      </w:r>
      <w:proofErr w:type="gramStart"/>
      <w:r>
        <w:t>.</w:t>
      </w:r>
      <w:r w:rsidR="00CE1EAB">
        <w:t>.</w:t>
      </w:r>
      <w:proofErr w:type="gramEnd"/>
    </w:p>
    <w:p w:rsidR="00C6222B" w:rsidRDefault="00C6222B" w:rsidP="00A317D6">
      <w:pPr>
        <w:pStyle w:val="textnoindent"/>
      </w:pPr>
    </w:p>
    <w:p w:rsidR="00CE1EAB" w:rsidRDefault="00F16AB6" w:rsidP="00A317D6">
      <w:pPr>
        <w:pStyle w:val="textnoindent"/>
        <w:pBdr>
          <w:bottom w:val="single" w:sz="4" w:space="1" w:color="auto"/>
        </w:pBdr>
        <w:rPr>
          <w:i/>
          <w:iCs/>
        </w:rPr>
      </w:pPr>
      <w:r w:rsidRPr="00F16AB6">
        <w:rPr>
          <w:i/>
        </w:rPr>
        <w:t xml:space="preserve">Key words:  </w:t>
      </w:r>
      <w:r w:rsidRPr="00C6222B">
        <w:rPr>
          <w:iCs/>
        </w:rPr>
        <w:t>a</w:t>
      </w:r>
      <w:r w:rsidR="00CE1EAB" w:rsidRPr="00C6222B">
        <w:rPr>
          <w:iCs/>
        </w:rPr>
        <w:t xml:space="preserve">rtificial </w:t>
      </w:r>
      <w:r w:rsidRPr="00C6222B">
        <w:rPr>
          <w:iCs/>
        </w:rPr>
        <w:t>i</w:t>
      </w:r>
      <w:r w:rsidR="00CE1EAB" w:rsidRPr="00C6222B">
        <w:rPr>
          <w:iCs/>
        </w:rPr>
        <w:t xml:space="preserve">ntelligence; </w:t>
      </w:r>
      <w:r w:rsidRPr="00C6222B">
        <w:rPr>
          <w:iCs/>
        </w:rPr>
        <w:t>s</w:t>
      </w:r>
      <w:r w:rsidR="00CE1EAB" w:rsidRPr="00C6222B">
        <w:rPr>
          <w:iCs/>
        </w:rPr>
        <w:t xml:space="preserve">imulation; </w:t>
      </w:r>
      <w:r w:rsidRPr="00C6222B">
        <w:rPr>
          <w:iCs/>
        </w:rPr>
        <w:t>s</w:t>
      </w:r>
      <w:r w:rsidR="00CE1EAB" w:rsidRPr="00C6222B">
        <w:rPr>
          <w:iCs/>
        </w:rPr>
        <w:t xml:space="preserve">tatistical </w:t>
      </w:r>
      <w:r w:rsidRPr="00C6222B">
        <w:rPr>
          <w:iCs/>
        </w:rPr>
        <w:t>a</w:t>
      </w:r>
      <w:r w:rsidR="00CE1EAB" w:rsidRPr="00C6222B">
        <w:rPr>
          <w:iCs/>
        </w:rPr>
        <w:t xml:space="preserve">nalysis; </w:t>
      </w:r>
      <w:r w:rsidRPr="00C6222B">
        <w:rPr>
          <w:iCs/>
        </w:rPr>
        <w:t>a</w:t>
      </w:r>
      <w:r w:rsidR="00CE1EAB" w:rsidRPr="00C6222B">
        <w:rPr>
          <w:iCs/>
        </w:rPr>
        <w:t xml:space="preserve">nalysis of </w:t>
      </w:r>
      <w:r w:rsidRPr="00C6222B">
        <w:rPr>
          <w:iCs/>
        </w:rPr>
        <w:t>a</w:t>
      </w:r>
      <w:r w:rsidR="00CE1EAB" w:rsidRPr="00C6222B">
        <w:rPr>
          <w:iCs/>
        </w:rPr>
        <w:t xml:space="preserve">lgorithms; </w:t>
      </w:r>
      <w:r w:rsidRPr="00C6222B">
        <w:rPr>
          <w:iCs/>
        </w:rPr>
        <w:t>q</w:t>
      </w:r>
      <w:r w:rsidR="00CE1EAB" w:rsidRPr="00C6222B">
        <w:rPr>
          <w:iCs/>
        </w:rPr>
        <w:t>ueues</w:t>
      </w:r>
    </w:p>
    <w:p w:rsidR="00F16AB6" w:rsidRPr="00C81993" w:rsidRDefault="00F16AB6" w:rsidP="00A317D6">
      <w:pPr>
        <w:pStyle w:val="textnoindent"/>
        <w:pBdr>
          <w:bottom w:val="single" w:sz="4" w:space="1" w:color="auto"/>
        </w:pBdr>
      </w:pPr>
      <w:r>
        <w:rPr>
          <w:i/>
          <w:iCs/>
        </w:rPr>
        <w:t>History:</w:t>
      </w:r>
      <w:r>
        <w:rPr>
          <w:iCs/>
        </w:rPr>
        <w:t xml:space="preserve">  </w:t>
      </w:r>
      <w:r w:rsidRPr="00C81993">
        <w:rPr>
          <w:iCs/>
        </w:rPr>
        <w:t>Accepted by Jan Karel Lenstra, former Area Editor</w:t>
      </w:r>
      <w:r w:rsidR="00FA74C0">
        <w:rPr>
          <w:iCs/>
        </w:rPr>
        <w:t xml:space="preserve"> for Design and Analysis of Alg</w:t>
      </w:r>
      <w:r w:rsidR="00FA74C0">
        <w:rPr>
          <w:iCs/>
        </w:rPr>
        <w:t>o</w:t>
      </w:r>
      <w:r w:rsidR="00FA74C0">
        <w:rPr>
          <w:iCs/>
        </w:rPr>
        <w:t>rithms</w:t>
      </w:r>
      <w:r w:rsidRPr="00C81993">
        <w:rPr>
          <w:iCs/>
        </w:rPr>
        <w:t xml:space="preserve">; </w:t>
      </w:r>
      <w:r w:rsidR="00C81993" w:rsidRPr="00C81993">
        <w:rPr>
          <w:iCs/>
        </w:rPr>
        <w:t>received Jan</w:t>
      </w:r>
      <w:r w:rsidR="00C81993" w:rsidRPr="00C81993">
        <w:rPr>
          <w:iCs/>
        </w:rPr>
        <w:t>u</w:t>
      </w:r>
      <w:r w:rsidR="00C81993" w:rsidRPr="00C81993">
        <w:rPr>
          <w:iCs/>
        </w:rPr>
        <w:t xml:space="preserve">ary 1989; revised July 1992, January 1996, January 2000, July 2001, May </w:t>
      </w:r>
      <w:r w:rsidR="00C81993" w:rsidRPr="00C81993">
        <w:rPr>
          <w:iCs/>
        </w:rPr>
        <w:lastRenderedPageBreak/>
        <w:t>2002, July 2002, November 2002</w:t>
      </w:r>
      <w:r w:rsidR="00C81993">
        <w:rPr>
          <w:iCs/>
        </w:rPr>
        <w:t>, December 2003</w:t>
      </w:r>
      <w:r w:rsidR="00F42D3E">
        <w:rPr>
          <w:iCs/>
        </w:rPr>
        <w:t>, January 2004</w:t>
      </w:r>
      <w:r w:rsidR="008439AB">
        <w:rPr>
          <w:iCs/>
        </w:rPr>
        <w:t>, December 2004</w:t>
      </w:r>
      <w:r w:rsidR="005F151C">
        <w:rPr>
          <w:iCs/>
        </w:rPr>
        <w:t xml:space="preserve">, December </w:t>
      </w:r>
      <w:proofErr w:type="gramStart"/>
      <w:r w:rsidR="005F151C">
        <w:rPr>
          <w:iCs/>
        </w:rPr>
        <w:t>2005</w:t>
      </w:r>
      <w:r w:rsidR="00C81993" w:rsidRPr="00C81993">
        <w:rPr>
          <w:iCs/>
        </w:rPr>
        <w:t>; a</w:t>
      </w:r>
      <w:r w:rsidR="00C81993" w:rsidRPr="00C81993">
        <w:rPr>
          <w:iCs/>
        </w:rPr>
        <w:t>c</w:t>
      </w:r>
      <w:r w:rsidR="00C81993" w:rsidRPr="00C81993">
        <w:rPr>
          <w:iCs/>
        </w:rPr>
        <w:t xml:space="preserve">cepted </w:t>
      </w:r>
      <w:r w:rsidR="008439AB">
        <w:rPr>
          <w:iCs/>
        </w:rPr>
        <w:t>December</w:t>
      </w:r>
      <w:r w:rsidR="00C81993">
        <w:rPr>
          <w:iCs/>
        </w:rPr>
        <w:t xml:space="preserve"> 200</w:t>
      </w:r>
      <w:r w:rsidR="005F151C">
        <w:rPr>
          <w:iCs/>
        </w:rPr>
        <w:t>5</w:t>
      </w:r>
      <w:r w:rsidR="00C81993" w:rsidRPr="00C81993">
        <w:rPr>
          <w:iCs/>
        </w:rPr>
        <w:t>.</w:t>
      </w:r>
      <w:proofErr w:type="gramEnd"/>
    </w:p>
    <w:p w:rsidR="00CE1EAB" w:rsidRDefault="00CE1EAB">
      <w:pPr>
        <w:pStyle w:val="sectionhead"/>
      </w:pPr>
      <w:r>
        <w:t>1.  Introduction</w:t>
      </w:r>
    </w:p>
    <w:p w:rsidR="00CE1EAB" w:rsidRDefault="00CE1EAB">
      <w:pPr>
        <w:pStyle w:val="textnoindent"/>
      </w:pPr>
      <w:r>
        <w:t xml:space="preserve">The introductory section starts the main section numbering at 1, and is usually entitled something like “Introduction” or “Motivation and Introduction.”  </w:t>
      </w:r>
      <w:r w:rsidR="008439AB">
        <w:t xml:space="preserve">Do not force this section to begin a new page.  </w:t>
      </w:r>
      <w:r>
        <w:t>It ge</w:t>
      </w:r>
      <w:r>
        <w:t>n</w:t>
      </w:r>
      <w:r>
        <w:t>erally describes what the paper will be about, what its implications and conclusions are, and how the remainder of the paper is or</w:t>
      </w:r>
      <w:r>
        <w:softHyphen/>
        <w:t>ganized.  The first paragraph at any level of sectio</w:t>
      </w:r>
      <w:r>
        <w:t>n</w:t>
      </w:r>
      <w:r>
        <w:t>ing (including the introductory se</w:t>
      </w:r>
      <w:r>
        <w:t>c</w:t>
      </w:r>
      <w:r>
        <w:t>tion) is not indented.</w:t>
      </w:r>
    </w:p>
    <w:p w:rsidR="00CE1EAB" w:rsidRDefault="00CE1EAB">
      <w:pPr>
        <w:pStyle w:val="textindentbasis"/>
      </w:pPr>
      <w:r>
        <w:t>However, the second and subsequent paragraphs in a section are indented.  Throughout the main text of the manuscript, use double spacing (or at least 1.5 spacing) between lines.</w:t>
      </w:r>
    </w:p>
    <w:p w:rsidR="00CE1EAB" w:rsidRDefault="00CE1EAB">
      <w:pPr>
        <w:pStyle w:val="textindentbasis"/>
      </w:pPr>
      <w:r>
        <w:t>Do not use footnotes or endnotes, but rather work such material into the text itself.</w:t>
      </w:r>
    </w:p>
    <w:p w:rsidR="00CE1EAB" w:rsidRDefault="00CE1EAB">
      <w:pPr>
        <w:pStyle w:val="textindentbasis"/>
      </w:pPr>
      <w:r>
        <w:t>Papers may be submitted to the appropriate Area Editor, or directly to the Editor-in-Chief; see http://joc.pubs.informs.org/ for contact information.  Electronic submission is encouraged in a mutually agreeable medium (e.g., e-mail attachment or FTP) and in a mutually agreeable file format (e.g., LaTeX, Word, PostScript, or PDF); contact the person to whom the submission will be made first to make sure the medium and format are agreeable.  If LaTeX is used, we ask for a single integrated LaTeX file, except for the file secdot.sty (available from our website under I</w:t>
      </w:r>
      <w:r>
        <w:t>n</w:t>
      </w:r>
      <w:r>
        <w:t>structions for Authors) and any external graphics files.  If submitting har</w:t>
      </w:r>
      <w:r>
        <w:t>d</w:t>
      </w:r>
      <w:r>
        <w:t>copy, please send five copies.  The journal’s website, under Instructions for Authors, has further instructions, as well is this document itself in several file formats.</w:t>
      </w:r>
    </w:p>
    <w:p w:rsidR="00CE1EAB" w:rsidRDefault="00CE1EAB">
      <w:pPr>
        <w:pStyle w:val="textindentbasis"/>
      </w:pPr>
      <w:r>
        <w:t>Submission of a manuscript is representation that the paper has neither been published nor submitted for publication elsewhere, and that, if the work is officially sponsored, it has been r</w:t>
      </w:r>
      <w:r>
        <w:t>e</w:t>
      </w:r>
      <w:r>
        <w:softHyphen/>
        <w:t>leased for open publication.  When a paper is accepted, authors are also asked to transmit the electronic file containing the text of the paper, as well as electronic or high-quality original har</w:t>
      </w:r>
      <w:r>
        <w:t>d</w:t>
      </w:r>
      <w:r>
        <w:softHyphen/>
        <w:t xml:space="preserve">copy of any figures, and to sign and send (fax and scanned graphics files are acceptable) to the Editor-in-Chief the </w:t>
      </w:r>
      <w:r>
        <w:rPr>
          <w:i/>
          <w:iCs/>
        </w:rPr>
        <w:t>Assignment of Copy</w:t>
      </w:r>
      <w:r>
        <w:rPr>
          <w:i/>
          <w:iCs/>
        </w:rPr>
        <w:softHyphen/>
        <w:t>right</w:t>
      </w:r>
      <w:r>
        <w:t xml:space="preserve"> form, which can be downloaded in PDF format from the journal’s web site; only one author needs to sign the copyright form.</w:t>
      </w:r>
    </w:p>
    <w:p w:rsidR="00CE1EAB" w:rsidRDefault="00CE1EAB">
      <w:pPr>
        <w:pStyle w:val="textindentbasis"/>
      </w:pPr>
      <w:r>
        <w:t xml:space="preserve">Section 2 describes the sectioning outline for papers, Section 3 discusses the format for mathematical material, and information about figures and tables is in Section 4.  References are treated in Section 5, and the possibility of online supplements to published papers is mentioned </w:t>
      </w:r>
      <w:r>
        <w:lastRenderedPageBreak/>
        <w:t>in Section 6.  Section 7 concludes, followed by an Appendix on appendices, Acknowledgments, and finally the References list.</w:t>
      </w:r>
    </w:p>
    <w:p w:rsidR="00CE1EAB" w:rsidRDefault="00CE1EAB">
      <w:pPr>
        <w:pStyle w:val="sectionhead"/>
      </w:pPr>
      <w:r>
        <w:t>2.  Sectioning</w:t>
      </w:r>
    </w:p>
    <w:p w:rsidR="00CE1EAB" w:rsidRDefault="00CE1EAB">
      <w:pPr>
        <w:pStyle w:val="textnoindent"/>
      </w:pPr>
      <w:r>
        <w:t>The main sections, including the introductory section, should be numbered 1, 2</w:t>
      </w:r>
      <w:proofErr w:type="gramStart"/>
      <w:r>
        <w:t>, ...,</w:t>
      </w:r>
      <w:proofErr w:type="gramEnd"/>
      <w:r>
        <w:t xml:space="preserve"> etc., and should have brief headings in boldface and larger type.</w:t>
      </w:r>
    </w:p>
    <w:p w:rsidR="00CE1EAB" w:rsidRDefault="00CE1EAB">
      <w:pPr>
        <w:pStyle w:val="subsectionhead"/>
      </w:pPr>
      <w:r>
        <w:t>2.1</w:t>
      </w:r>
      <w:proofErr w:type="gramStart"/>
      <w:r w:rsidR="00456C02">
        <w:t>.</w:t>
      </w:r>
      <w:r>
        <w:t xml:space="preserve">  </w:t>
      </w:r>
      <w:proofErr w:type="spellStart"/>
      <w:r>
        <w:t>Subsectioning</w:t>
      </w:r>
      <w:proofErr w:type="spellEnd"/>
      <w:proofErr w:type="gramEnd"/>
    </w:p>
    <w:p w:rsidR="00CE1EAB" w:rsidRDefault="00CE1EAB">
      <w:pPr>
        <w:pStyle w:val="textnoindent"/>
      </w:pPr>
      <w:r>
        <w:t>Subsections are numbered as indicated above, and have headings in boldface at a size between that of the text and the headings of the main sections.  Subsubsectioning can be used if nece</w:t>
      </w:r>
      <w:r>
        <w:t>s</w:t>
      </w:r>
      <w:r>
        <w:t>sary, but is not particularly e</w:t>
      </w:r>
      <w:r>
        <w:t>n</w:t>
      </w:r>
      <w:r>
        <w:t>couraged.</w:t>
      </w:r>
    </w:p>
    <w:p w:rsidR="00CE1EAB" w:rsidRDefault="00CE1EAB">
      <w:pPr>
        <w:pStyle w:val="subsectionhead"/>
      </w:pPr>
      <w:r>
        <w:t>2.2</w:t>
      </w:r>
      <w:proofErr w:type="gramStart"/>
      <w:r w:rsidR="00456C02">
        <w:t>.</w:t>
      </w:r>
      <w:r>
        <w:t xml:space="preserve">  More</w:t>
      </w:r>
      <w:proofErr w:type="gramEnd"/>
      <w:r>
        <w:t xml:space="preserve"> </w:t>
      </w:r>
      <w:proofErr w:type="spellStart"/>
      <w:r>
        <w:t>Subsectioning</w:t>
      </w:r>
      <w:proofErr w:type="spellEnd"/>
    </w:p>
    <w:p w:rsidR="00CE1EAB" w:rsidRDefault="00CE1EAB">
      <w:pPr>
        <w:pStyle w:val="textnoindent"/>
      </w:pPr>
      <w:r>
        <w:t>As in standard outlining, at any level of sectioning there must be at least two entries; otherwise that level of sectioning at that point should not be present (e.g., if there is a Section 2.1 then there must be a Section 2.2).</w:t>
      </w:r>
    </w:p>
    <w:p w:rsidR="00CE1EAB" w:rsidRDefault="00CE1EAB">
      <w:pPr>
        <w:pStyle w:val="sectionhead"/>
      </w:pPr>
      <w:r>
        <w:t>3.  Mathematical Material</w:t>
      </w:r>
    </w:p>
    <w:p w:rsidR="00CE1EAB" w:rsidRDefault="00CE1EAB">
      <w:pPr>
        <w:pStyle w:val="textnoindent"/>
      </w:pPr>
      <w:r>
        <w:t>Set-off mathematical material should be centered:</w:t>
      </w:r>
    </w:p>
    <w:p w:rsidR="00CE1EAB" w:rsidRDefault="00CE1EAB">
      <w:pPr>
        <w:pStyle w:val="textnoindent"/>
        <w:jc w:val="center"/>
      </w:pPr>
      <w:r>
        <w:rPr>
          <w:i/>
          <w:iCs/>
        </w:rPr>
        <w:t>e</w:t>
      </w:r>
      <w:r>
        <w:rPr>
          <w:i/>
          <w:iCs/>
          <w:vertAlign w:val="superscript"/>
        </w:rPr>
        <w:t>i</w:t>
      </w:r>
      <w:r>
        <w:rPr>
          <w:rFonts w:ascii="Symbol" w:hAnsi="Symbol"/>
          <w:i/>
          <w:iCs/>
          <w:vertAlign w:val="superscript"/>
        </w:rPr>
        <w:t></w:t>
      </w:r>
      <w:r>
        <w:t xml:space="preserve"> = –1.</w:t>
      </w:r>
    </w:p>
    <w:p w:rsidR="00CE1EAB" w:rsidRDefault="00CE1EAB">
      <w:pPr>
        <w:pStyle w:val="textnoindent"/>
      </w:pPr>
      <w:r>
        <w:t>Since the above set-off expression is not referred to elsewhere in the text, it is not numbered.</w:t>
      </w:r>
    </w:p>
    <w:p w:rsidR="00CE1EAB" w:rsidRDefault="00CE1EAB">
      <w:pPr>
        <w:pStyle w:val="textindentbasis"/>
      </w:pPr>
      <w:r>
        <w:t>Expressions that are referred to elsewhere in the text should be numbered (1), (2)</w:t>
      </w:r>
      <w:proofErr w:type="gramStart"/>
      <w:r>
        <w:t>, ...,</w:t>
      </w:r>
      <w:proofErr w:type="gramEnd"/>
      <w:r>
        <w:t xml:space="preserve"> etc. throughout the paper, and the numbers should be flush-right at the margin:</w:t>
      </w:r>
    </w:p>
    <w:p w:rsidR="00CE1EAB" w:rsidRDefault="00CE1EAB">
      <w:pPr>
        <w:pStyle w:val="textnoindent"/>
        <w:tabs>
          <w:tab w:val="center" w:pos="4680"/>
          <w:tab w:val="right" w:pos="9360"/>
        </w:tabs>
        <w:jc w:val="left"/>
      </w:pPr>
      <w:r>
        <w:rPr>
          <w:i/>
          <w:iCs/>
        </w:rPr>
        <w:tab/>
      </w:r>
      <w:proofErr w:type="gramStart"/>
      <w:r>
        <w:rPr>
          <w:i/>
          <w:iCs/>
        </w:rPr>
        <w:t>P</w:t>
      </w:r>
      <w:r>
        <w:t>(</w:t>
      </w:r>
      <w:proofErr w:type="gramEnd"/>
      <w:r>
        <w:t xml:space="preserve">1 – </w:t>
      </w:r>
      <w:r>
        <w:rPr>
          <w:i/>
          <w:iCs/>
        </w:rPr>
        <w:sym w:font="Symbol" w:char="F065"/>
      </w:r>
      <w:r>
        <w:t xml:space="preserve"> </w:t>
      </w:r>
      <w:r>
        <w:sym w:font="Symbol" w:char="F0A3"/>
      </w:r>
      <w:r>
        <w:t xml:space="preserve"> sin</w:t>
      </w:r>
      <w:r>
        <w:rPr>
          <w:vertAlign w:val="superscript"/>
        </w:rPr>
        <w:t>2</w:t>
      </w:r>
      <w:r>
        <w:rPr>
          <w:i/>
          <w:iCs/>
        </w:rPr>
        <w:sym w:font="Symbol" w:char="F071"/>
      </w:r>
      <w:r>
        <w:t xml:space="preserve"> + cos</w:t>
      </w:r>
      <w:r>
        <w:rPr>
          <w:vertAlign w:val="superscript"/>
        </w:rPr>
        <w:t>2</w:t>
      </w:r>
      <w:r>
        <w:rPr>
          <w:i/>
          <w:iCs/>
        </w:rPr>
        <w:sym w:font="Symbol" w:char="F071"/>
      </w:r>
      <w:r>
        <w:t xml:space="preserve"> </w:t>
      </w:r>
      <w:r>
        <w:sym w:font="Symbol" w:char="F0A3"/>
      </w:r>
      <w:r>
        <w:t xml:space="preserve"> 1 + </w:t>
      </w:r>
      <w:r>
        <w:rPr>
          <w:i/>
          <w:iCs/>
        </w:rPr>
        <w:sym w:font="Symbol" w:char="F065"/>
      </w:r>
      <w:r>
        <w:t>) &gt; 0.</w:t>
      </w:r>
      <w:r>
        <w:tab/>
        <w:t>(1)</w:t>
      </w:r>
    </w:p>
    <w:p w:rsidR="00CE1EAB" w:rsidRDefault="00CE1EAB">
      <w:pPr>
        <w:pStyle w:val="textnoindent"/>
      </w:pPr>
      <w:r>
        <w:t>Multi-part mathematical expressions to which reference is made elsewhere in the text should be given a single number if reference to it occurs only as a group, as in</w:t>
      </w:r>
    </w:p>
    <w:p w:rsidR="00CE1EAB" w:rsidRDefault="00CE1EAB">
      <w:pPr>
        <w:pStyle w:val="textnoindent"/>
        <w:tabs>
          <w:tab w:val="left" w:pos="3600"/>
          <w:tab w:val="left" w:pos="4680"/>
          <w:tab w:val="right" w:pos="9360"/>
        </w:tabs>
        <w:jc w:val="left"/>
      </w:pPr>
      <w:r>
        <w:tab/>
      </w:r>
      <w:proofErr w:type="gramStart"/>
      <w:r>
        <w:t>max</w:t>
      </w:r>
      <w:proofErr w:type="gramEnd"/>
      <w:r>
        <w:tab/>
      </w:r>
      <w:r>
        <w:rPr>
          <w:b/>
          <w:bCs/>
        </w:rPr>
        <w:t>cx</w:t>
      </w:r>
    </w:p>
    <w:p w:rsidR="00CE1EAB" w:rsidRDefault="00CE1EAB">
      <w:pPr>
        <w:pStyle w:val="textnoindent"/>
        <w:tabs>
          <w:tab w:val="left" w:pos="3600"/>
          <w:tab w:val="left" w:pos="4680"/>
          <w:tab w:val="right" w:pos="9360"/>
        </w:tabs>
        <w:jc w:val="left"/>
      </w:pPr>
      <w:r>
        <w:tab/>
      </w:r>
      <w:proofErr w:type="gramStart"/>
      <w:r>
        <w:t>subject</w:t>
      </w:r>
      <w:proofErr w:type="gramEnd"/>
      <w:r>
        <w:t xml:space="preserve"> to</w:t>
      </w:r>
      <w:r>
        <w:tab/>
      </w:r>
      <w:r>
        <w:rPr>
          <w:i/>
          <w:iCs/>
        </w:rPr>
        <w:t>A</w:t>
      </w:r>
      <w:r>
        <w:rPr>
          <w:b/>
          <w:bCs/>
        </w:rPr>
        <w:t>x</w:t>
      </w:r>
      <w:r>
        <w:t xml:space="preserve"> = </w:t>
      </w:r>
      <w:r>
        <w:rPr>
          <w:b/>
          <w:bCs/>
        </w:rPr>
        <w:t>b</w:t>
      </w:r>
      <w:r>
        <w:t>.</w:t>
      </w:r>
      <w:r>
        <w:tab/>
        <w:t>(2)</w:t>
      </w:r>
    </w:p>
    <w:p w:rsidR="00CE1EAB" w:rsidRDefault="00CE1EAB">
      <w:pPr>
        <w:pStyle w:val="textnoindent"/>
        <w:tabs>
          <w:tab w:val="left" w:pos="3600"/>
          <w:tab w:val="left" w:pos="4680"/>
          <w:tab w:val="right" w:pos="9360"/>
        </w:tabs>
        <w:jc w:val="left"/>
      </w:pPr>
      <w:r>
        <w:rPr>
          <w:b/>
          <w:bCs/>
        </w:rPr>
        <w:tab/>
      </w:r>
      <w:r>
        <w:rPr>
          <w:b/>
          <w:bCs/>
        </w:rPr>
        <w:tab/>
      </w:r>
      <w:proofErr w:type="gramStart"/>
      <w:r>
        <w:rPr>
          <w:b/>
          <w:bCs/>
        </w:rPr>
        <w:t>x</w:t>
      </w:r>
      <w:proofErr w:type="gramEnd"/>
      <w:r>
        <w:t xml:space="preserve"> </w:t>
      </w:r>
      <w:r>
        <w:sym w:font="Symbol" w:char="F0B3"/>
      </w:r>
      <w:r>
        <w:t xml:space="preserve"> </w:t>
      </w:r>
      <w:r>
        <w:rPr>
          <w:b/>
          <w:bCs/>
        </w:rPr>
        <w:t>0</w:t>
      </w:r>
    </w:p>
    <w:p w:rsidR="00CE1EAB" w:rsidRDefault="00CE1EAB">
      <w:pPr>
        <w:pStyle w:val="textnoindent"/>
      </w:pPr>
      <w:r>
        <w:t>Since (1) and (2) are referenced in the text, they are numbered.  If it aids in the exposition, set-off mathematical expressions may be numbered by schemes like (1a), (1b), etc.</w:t>
      </w:r>
    </w:p>
    <w:p w:rsidR="00CE1EAB" w:rsidRDefault="00CE1EAB">
      <w:pPr>
        <w:pStyle w:val="textindentbasis"/>
      </w:pPr>
      <w:r>
        <w:lastRenderedPageBreak/>
        <w:t>Statements of Theorems, Lemmas, Algorithms, and such should be in italics with the name/number in boldface, as in</w:t>
      </w:r>
    </w:p>
    <w:p w:rsidR="00CE1EAB" w:rsidRDefault="00CE1EAB">
      <w:pPr>
        <w:pStyle w:val="textnoindent"/>
      </w:pPr>
    </w:p>
    <w:p w:rsidR="00CE1EAB" w:rsidRDefault="00CE1EAB">
      <w:pPr>
        <w:pStyle w:val="textnoindent"/>
      </w:pPr>
      <w:r>
        <w:rPr>
          <w:b/>
          <w:bCs/>
        </w:rPr>
        <w:t xml:space="preserve">Theorem </w:t>
      </w:r>
      <w:proofErr w:type="gramStart"/>
      <w:r>
        <w:rPr>
          <w:b/>
          <w:bCs/>
          <w:smallCaps/>
        </w:rPr>
        <w:t>1</w:t>
      </w:r>
      <w:r>
        <w:t xml:space="preserve">  </w:t>
      </w:r>
      <w:r>
        <w:rPr>
          <w:i/>
          <w:iCs/>
        </w:rPr>
        <w:t>Poisson</w:t>
      </w:r>
      <w:proofErr w:type="gramEnd"/>
      <w:r>
        <w:rPr>
          <w:i/>
          <w:iCs/>
        </w:rPr>
        <w:t xml:space="preserve"> arrivals see time averages.</w:t>
      </w:r>
    </w:p>
    <w:p w:rsidR="00CE1EAB" w:rsidRDefault="00CE1EAB">
      <w:pPr>
        <w:pStyle w:val="sectionhead"/>
      </w:pPr>
      <w:r>
        <w:t>4.  Figures and Tables</w:t>
      </w:r>
    </w:p>
    <w:p w:rsidR="00CE1EAB" w:rsidRDefault="00CE1EAB">
      <w:pPr>
        <w:pStyle w:val="textnoindent"/>
      </w:pPr>
      <w:r>
        <w:t>Figures are numbered 1, 2, 3</w:t>
      </w:r>
      <w:proofErr w:type="gramStart"/>
      <w:r>
        <w:t>, ...,</w:t>
      </w:r>
      <w:proofErr w:type="gramEnd"/>
      <w:r>
        <w:t xml:space="preserve"> etc., throughout the paper.  Figure captions, with the figure number, appear below the figure and centered; see Figure 1 for an example.  Authors of a</w:t>
      </w:r>
      <w:r>
        <w:t>c</w:t>
      </w:r>
      <w:r>
        <w:t>cepted papers will be asked to supply high-quality orig</w:t>
      </w:r>
      <w:r>
        <w:t>i</w:t>
      </w:r>
      <w:r>
        <w:softHyphen/>
        <w:t>nal hardcopy or an electronic file for the figure in a standard format, such as PostScript or TIFF; at present we cannot accept color graphics.  Placement of figures in the manuscript should be as soon as possible after the point of first refe</w:t>
      </w:r>
      <w:r>
        <w:t>r</w:t>
      </w:r>
      <w:r>
        <w:t>ence.</w:t>
      </w:r>
    </w:p>
    <w:p w:rsidR="00CE1EAB" w:rsidRDefault="00CE1EAB">
      <w:pPr>
        <w:pStyle w:val="textnoindent"/>
      </w:pPr>
      <w:r>
        <w:rPr>
          <w:noProof/>
          <w:sz w:val="20"/>
        </w:rPr>
        <w:pict>
          <v:shapetype id="_x0000_t202" coordsize="21600,21600" o:spt="202" path="m,l,21600r21600,l21600,xe">
            <v:stroke joinstyle="miter"/>
            <v:path gradientshapeok="t" o:connecttype="rect"/>
          </v:shapetype>
          <v:shape id="_x0000_s1041" type="#_x0000_t202" style="position:absolute;left:0;text-align:left;margin-left:289pt;margin-top:17.9pt;width:40.15pt;height:22.15pt;z-index:251660288" stroked="f">
            <v:textbox style="mso-next-textbox:#_x0000_s1041">
              <w:txbxContent>
                <w:p w:rsidR="00CE1EAB" w:rsidRDefault="00CE1EAB">
                  <w:pPr>
                    <w:rPr>
                      <w:rFonts w:ascii="Times New Roman" w:hAnsi="Times New Roman"/>
                      <w:i/>
                      <w:iCs/>
                    </w:rPr>
                  </w:pPr>
                  <w:proofErr w:type="gramStart"/>
                  <w:r>
                    <w:rPr>
                      <w:rFonts w:ascii="Times New Roman" w:hAnsi="Times New Roman"/>
                      <w:i/>
                      <w:iCs/>
                    </w:rPr>
                    <w:t>f</w:t>
                  </w:r>
                  <w:r>
                    <w:rPr>
                      <w:rFonts w:ascii="Times New Roman" w:hAnsi="Times New Roman"/>
                    </w:rPr>
                    <w:t>(</w:t>
                  </w:r>
                  <w:proofErr w:type="gramEnd"/>
                  <w:r>
                    <w:rPr>
                      <w:rFonts w:ascii="Times New Roman" w:hAnsi="Times New Roman"/>
                      <w:i/>
                      <w:iCs/>
                    </w:rPr>
                    <w:t>x</w:t>
                  </w:r>
                  <w:r>
                    <w:rPr>
                      <w:rFonts w:ascii="Times New Roman" w:hAnsi="Times New Roman"/>
                    </w:rPr>
                    <w:t>)</w:t>
                  </w:r>
                </w:p>
              </w:txbxContent>
            </v:textbox>
          </v:shape>
        </w:pict>
      </w:r>
      <w:r>
        <w:rPr>
          <w:noProof/>
          <w:sz w:val="20"/>
        </w:rPr>
        <w:pict>
          <v:shape id="_x0000_s1040" type="#_x0000_t202" style="position:absolute;left:0;text-align:left;margin-left:211pt;margin-top:4.4pt;width:20.65pt;height:24.15pt;z-index:251659264" stroked="f">
            <v:textbox style="mso-next-textbox:#_x0000_s1040">
              <w:txbxContent>
                <w:p w:rsidR="00CE1EAB" w:rsidRDefault="00CE1EAB">
                  <w:pPr>
                    <w:rPr>
                      <w:rFonts w:ascii="Times New Roman" w:hAnsi="Times New Roman"/>
                      <w:i/>
                      <w:iCs/>
                      <w:sz w:val="24"/>
                    </w:rPr>
                  </w:pPr>
                  <w:proofErr w:type="gramStart"/>
                  <w:r>
                    <w:rPr>
                      <w:rFonts w:ascii="Times New Roman" w:hAnsi="Times New Roman"/>
                      <w:i/>
                      <w:iCs/>
                      <w:sz w:val="24"/>
                    </w:rPr>
                    <w:t>y</w:t>
                  </w:r>
                  <w:proofErr w:type="gramEnd"/>
                </w:p>
              </w:txbxContent>
            </v:textbox>
          </v:shape>
        </w:pict>
      </w:r>
    </w:p>
    <w:p w:rsidR="00CE1EAB" w:rsidRDefault="00CE1EAB">
      <w:pPr>
        <w:pStyle w:val="textnoindent"/>
      </w:pPr>
      <w:r>
        <w:rPr>
          <w:noProof/>
          <w:sz w:val="20"/>
        </w:rPr>
        <w:pict>
          <v:line id="_x0000_s1038" style="position:absolute;left:0;text-align:left;flip:y;z-index:251657216" from="169pt,3.2pt" to="287.5pt,66.2pt"/>
        </w:pict>
      </w:r>
      <w:r>
        <w:rPr>
          <w:noProof/>
          <w:sz w:val="20"/>
        </w:rPr>
        <w:pict>
          <v:line id="_x0000_s1036" style="position:absolute;left:0;text-align:left;z-index:251655168" from="221.5pt,2pt" to="221.5pt,74pt"/>
        </w:pict>
      </w:r>
    </w:p>
    <w:p w:rsidR="00CE1EAB" w:rsidRDefault="00CE1EAB">
      <w:pPr>
        <w:pStyle w:val="textnoindent"/>
      </w:pPr>
      <w:r>
        <w:rPr>
          <w:noProof/>
          <w:sz w:val="20"/>
        </w:rPr>
        <w:pict>
          <v:shape id="_x0000_s1039" type="#_x0000_t202" style="position:absolute;left:0;text-align:left;margin-left:293pt;margin-top:20pt;width:20.65pt;height:19.15pt;z-index:251658240" stroked="f">
            <v:textbox style="mso-next-textbox:#_x0000_s1039">
              <w:txbxContent>
                <w:p w:rsidR="00CE1EAB" w:rsidRDefault="00CE1EAB">
                  <w:pPr>
                    <w:rPr>
                      <w:rFonts w:ascii="Times New Roman" w:hAnsi="Times New Roman"/>
                      <w:i/>
                      <w:iCs/>
                      <w:sz w:val="24"/>
                    </w:rPr>
                  </w:pPr>
                  <w:proofErr w:type="gramStart"/>
                  <w:r>
                    <w:rPr>
                      <w:rFonts w:ascii="Times New Roman" w:hAnsi="Times New Roman"/>
                      <w:i/>
                      <w:iCs/>
                      <w:sz w:val="24"/>
                    </w:rPr>
                    <w:t>x</w:t>
                  </w:r>
                  <w:proofErr w:type="gramEnd"/>
                </w:p>
              </w:txbxContent>
            </v:textbox>
          </v:shape>
        </w:pict>
      </w:r>
    </w:p>
    <w:p w:rsidR="00CE1EAB" w:rsidRDefault="00CE1EAB">
      <w:pPr>
        <w:pStyle w:val="textnoindent"/>
      </w:pPr>
      <w:r>
        <w:rPr>
          <w:noProof/>
          <w:sz w:val="20"/>
        </w:rPr>
        <w:pict>
          <v:line id="_x0000_s1037" style="position:absolute;left:0;text-align:left;z-index:251656192" from="163pt,8.3pt" to="293.5pt,8.3pt"/>
        </w:pict>
      </w:r>
    </w:p>
    <w:p w:rsidR="00CE1EAB" w:rsidRDefault="00CE1EAB">
      <w:pPr>
        <w:pStyle w:val="textnoindent"/>
      </w:pPr>
    </w:p>
    <w:p w:rsidR="00CE1EAB" w:rsidRDefault="00CE1EAB">
      <w:pPr>
        <w:pStyle w:val="textnoindent"/>
        <w:jc w:val="center"/>
      </w:pPr>
      <w:r>
        <w:t>Figure 1:  An Affine Function</w:t>
      </w:r>
    </w:p>
    <w:p w:rsidR="00CE1EAB" w:rsidRDefault="00CE1EAB">
      <w:pPr>
        <w:pStyle w:val="textnoindent"/>
      </w:pPr>
    </w:p>
    <w:p w:rsidR="00CE1EAB" w:rsidRDefault="00CE1EAB">
      <w:pPr>
        <w:pStyle w:val="textindentbasis"/>
      </w:pPr>
      <w:r>
        <w:t>Tables are numbered 1, 2, 3</w:t>
      </w:r>
      <w:proofErr w:type="gramStart"/>
      <w:r>
        <w:t>, ...,</w:t>
      </w:r>
      <w:proofErr w:type="gramEnd"/>
      <w:r>
        <w:t xml:space="preserve"> etc., throughout the paper.  Table captions, with the table number, appear above the table and are centered; see Table 1 for an example.  Avoid use of ve</w:t>
      </w:r>
      <w:r>
        <w:t>r</w:t>
      </w:r>
      <w:r>
        <w:t>tical dividing lines within tables.  Use horizontal dividing lines only at the top, bottom, and to divide the column headings from the body or to divide main sections of the table.  As with fi</w:t>
      </w:r>
      <w:r>
        <w:t>g</w:t>
      </w:r>
      <w:r>
        <w:t>ures, tables should be placed in the manuscript as soon as possible after the point of first refe</w:t>
      </w:r>
      <w:r>
        <w:t>r</w:t>
      </w:r>
      <w:r>
        <w:t>ence.</w:t>
      </w:r>
    </w:p>
    <w:p w:rsidR="00CE1EAB" w:rsidRDefault="00CE1EAB">
      <w:pPr>
        <w:pStyle w:val="textnoindent"/>
      </w:pPr>
    </w:p>
    <w:p w:rsidR="00CE1EAB" w:rsidRDefault="00CE1EAB">
      <w:pPr>
        <w:pStyle w:val="textnoindent"/>
        <w:jc w:val="center"/>
      </w:pPr>
      <w:r>
        <w:t>Table 1:  Some Probability Distributions</w:t>
      </w:r>
    </w:p>
    <w:tbl>
      <w:tblPr>
        <w:tblW w:w="0" w:type="auto"/>
        <w:tblInd w:w="2988" w:type="dxa"/>
        <w:tblLayout w:type="fixed"/>
        <w:tblLook w:val="0000"/>
      </w:tblPr>
      <w:tblGrid>
        <w:gridCol w:w="1170"/>
        <w:gridCol w:w="1260"/>
        <w:gridCol w:w="1268"/>
      </w:tblGrid>
      <w:tr w:rsidR="00CE1EAB">
        <w:tblPrEx>
          <w:tblCellMar>
            <w:top w:w="0" w:type="dxa"/>
            <w:bottom w:w="0" w:type="dxa"/>
          </w:tblCellMar>
        </w:tblPrEx>
        <w:tc>
          <w:tcPr>
            <w:tcW w:w="1170" w:type="dxa"/>
            <w:tcBorders>
              <w:top w:val="single" w:sz="4" w:space="0" w:color="auto"/>
              <w:bottom w:val="single" w:sz="4" w:space="0" w:color="auto"/>
            </w:tcBorders>
          </w:tcPr>
          <w:p w:rsidR="00CE1EAB" w:rsidRDefault="00CE1EAB">
            <w:pPr>
              <w:pStyle w:val="textnoindent"/>
              <w:spacing w:line="240" w:lineRule="auto"/>
            </w:pPr>
            <w:r>
              <w:t>Name</w:t>
            </w:r>
          </w:p>
        </w:tc>
        <w:tc>
          <w:tcPr>
            <w:tcW w:w="1260" w:type="dxa"/>
            <w:tcBorders>
              <w:top w:val="single" w:sz="4" w:space="0" w:color="auto"/>
              <w:bottom w:val="single" w:sz="4" w:space="0" w:color="auto"/>
            </w:tcBorders>
          </w:tcPr>
          <w:p w:rsidR="00CE1EAB" w:rsidRDefault="00CE1EAB">
            <w:pPr>
              <w:pStyle w:val="textnoindent"/>
              <w:spacing w:line="240" w:lineRule="auto"/>
            </w:pPr>
            <w:r>
              <w:t>Minimum</w:t>
            </w:r>
          </w:p>
        </w:tc>
        <w:tc>
          <w:tcPr>
            <w:tcW w:w="1268" w:type="dxa"/>
            <w:tcBorders>
              <w:top w:val="single" w:sz="4" w:space="0" w:color="auto"/>
              <w:bottom w:val="single" w:sz="4" w:space="0" w:color="auto"/>
            </w:tcBorders>
          </w:tcPr>
          <w:p w:rsidR="00CE1EAB" w:rsidRDefault="00CE1EAB">
            <w:pPr>
              <w:pStyle w:val="textnoindent"/>
              <w:spacing w:line="240" w:lineRule="auto"/>
            </w:pPr>
            <w:r>
              <w:t>Maximum</w:t>
            </w:r>
          </w:p>
        </w:tc>
      </w:tr>
      <w:tr w:rsidR="00CE1EAB">
        <w:tblPrEx>
          <w:tblCellMar>
            <w:top w:w="0" w:type="dxa"/>
            <w:bottom w:w="0" w:type="dxa"/>
          </w:tblCellMar>
        </w:tblPrEx>
        <w:tc>
          <w:tcPr>
            <w:tcW w:w="1170" w:type="dxa"/>
            <w:tcBorders>
              <w:top w:val="single" w:sz="4" w:space="0" w:color="auto"/>
            </w:tcBorders>
          </w:tcPr>
          <w:p w:rsidR="00CE1EAB" w:rsidRDefault="00CE1EAB">
            <w:pPr>
              <w:pStyle w:val="textnoindent"/>
            </w:pPr>
            <w:r>
              <w:t>U(0, 1)</w:t>
            </w:r>
          </w:p>
        </w:tc>
        <w:tc>
          <w:tcPr>
            <w:tcW w:w="1260" w:type="dxa"/>
            <w:tcBorders>
              <w:top w:val="single" w:sz="4" w:space="0" w:color="auto"/>
            </w:tcBorders>
          </w:tcPr>
          <w:p w:rsidR="00CE1EAB" w:rsidRDefault="00CE1EAB">
            <w:pPr>
              <w:pStyle w:val="textnoindent"/>
            </w:pPr>
            <w:r>
              <w:t>0</w:t>
            </w:r>
          </w:p>
        </w:tc>
        <w:tc>
          <w:tcPr>
            <w:tcW w:w="1268" w:type="dxa"/>
            <w:tcBorders>
              <w:top w:val="single" w:sz="4" w:space="0" w:color="auto"/>
            </w:tcBorders>
          </w:tcPr>
          <w:p w:rsidR="00CE1EAB" w:rsidRDefault="00CE1EAB">
            <w:pPr>
              <w:pStyle w:val="textnoindent"/>
            </w:pPr>
            <w:r>
              <w:t>1</w:t>
            </w:r>
          </w:p>
        </w:tc>
      </w:tr>
      <w:tr w:rsidR="00CE1EAB">
        <w:tblPrEx>
          <w:tblCellMar>
            <w:top w:w="0" w:type="dxa"/>
            <w:bottom w:w="0" w:type="dxa"/>
          </w:tblCellMar>
        </w:tblPrEx>
        <w:tc>
          <w:tcPr>
            <w:tcW w:w="1170" w:type="dxa"/>
          </w:tcPr>
          <w:p w:rsidR="00CE1EAB" w:rsidRDefault="00CE1EAB">
            <w:pPr>
              <w:pStyle w:val="textnoindent"/>
            </w:pPr>
            <w:r>
              <w:t>N(0, 1)</w:t>
            </w:r>
          </w:p>
        </w:tc>
        <w:tc>
          <w:tcPr>
            <w:tcW w:w="1260" w:type="dxa"/>
          </w:tcPr>
          <w:p w:rsidR="00CE1EAB" w:rsidRDefault="00CE1EAB">
            <w:pPr>
              <w:pStyle w:val="textnoindent"/>
            </w:pPr>
            <w:r>
              <w:t>–</w:t>
            </w:r>
            <w:r>
              <w:sym w:font="Symbol" w:char="F0A5"/>
            </w:r>
          </w:p>
        </w:tc>
        <w:tc>
          <w:tcPr>
            <w:tcW w:w="1268" w:type="dxa"/>
          </w:tcPr>
          <w:p w:rsidR="00CE1EAB" w:rsidRDefault="00CE1EAB">
            <w:pPr>
              <w:pStyle w:val="textnoindent"/>
            </w:pPr>
            <w:r>
              <w:sym w:font="Symbol" w:char="F0A5"/>
            </w:r>
          </w:p>
        </w:tc>
      </w:tr>
      <w:tr w:rsidR="00CE1EAB">
        <w:tblPrEx>
          <w:tblCellMar>
            <w:top w:w="0" w:type="dxa"/>
            <w:bottom w:w="0" w:type="dxa"/>
          </w:tblCellMar>
        </w:tblPrEx>
        <w:tc>
          <w:tcPr>
            <w:tcW w:w="1170" w:type="dxa"/>
            <w:tcBorders>
              <w:bottom w:val="single" w:sz="4" w:space="0" w:color="auto"/>
            </w:tcBorders>
          </w:tcPr>
          <w:p w:rsidR="00CE1EAB" w:rsidRDefault="00CE1EAB">
            <w:pPr>
              <w:pStyle w:val="textnoindent"/>
              <w:spacing w:line="240" w:lineRule="auto"/>
            </w:pPr>
            <w:r>
              <w:t>expo(</w:t>
            </w:r>
            <w:r>
              <w:rPr>
                <w:rFonts w:ascii="Symbol" w:hAnsi="Symbol"/>
                <w:i/>
                <w:iCs/>
              </w:rPr>
              <w:t></w:t>
            </w:r>
            <w:r>
              <w:t>)</w:t>
            </w:r>
            <w:r>
              <w:rPr>
                <w:vertAlign w:val="superscript"/>
              </w:rPr>
              <w:t>*</w:t>
            </w:r>
          </w:p>
        </w:tc>
        <w:tc>
          <w:tcPr>
            <w:tcW w:w="1260" w:type="dxa"/>
            <w:tcBorders>
              <w:bottom w:val="single" w:sz="4" w:space="0" w:color="auto"/>
            </w:tcBorders>
          </w:tcPr>
          <w:p w:rsidR="00CE1EAB" w:rsidRDefault="00CE1EAB">
            <w:pPr>
              <w:pStyle w:val="textnoindent"/>
              <w:spacing w:line="240" w:lineRule="auto"/>
            </w:pPr>
            <w:r>
              <w:t>0</w:t>
            </w:r>
          </w:p>
        </w:tc>
        <w:tc>
          <w:tcPr>
            <w:tcW w:w="1268" w:type="dxa"/>
            <w:tcBorders>
              <w:bottom w:val="single" w:sz="4" w:space="0" w:color="auto"/>
            </w:tcBorders>
          </w:tcPr>
          <w:p w:rsidR="00CE1EAB" w:rsidRDefault="00CE1EAB">
            <w:pPr>
              <w:pStyle w:val="textnoindent"/>
              <w:spacing w:line="240" w:lineRule="auto"/>
            </w:pPr>
            <w:r>
              <w:sym w:font="Symbol" w:char="F0A5"/>
            </w:r>
          </w:p>
        </w:tc>
      </w:tr>
    </w:tbl>
    <w:p w:rsidR="00CE1EAB" w:rsidRDefault="00CE1EAB">
      <w:pPr>
        <w:pStyle w:val="textnoindent"/>
        <w:spacing w:before="60"/>
        <w:ind w:left="2880"/>
      </w:pPr>
      <w:r>
        <w:rPr>
          <w:vertAlign w:val="superscript"/>
        </w:rPr>
        <w:lastRenderedPageBreak/>
        <w:t>*</w:t>
      </w:r>
      <w:r>
        <w:t>Unshifted version</w:t>
      </w:r>
    </w:p>
    <w:p w:rsidR="00CE1EAB" w:rsidRDefault="00CE1EAB">
      <w:pPr>
        <w:pStyle w:val="textnoindent"/>
      </w:pPr>
    </w:p>
    <w:p w:rsidR="00323292" w:rsidRDefault="00CE1EAB">
      <w:pPr>
        <w:pStyle w:val="textindentbasis"/>
      </w:pPr>
      <w:r>
        <w:t>If it aids in the exposition, figures and tables may be numbered 2a, 2b, 2c, etc.</w:t>
      </w:r>
    </w:p>
    <w:p w:rsidR="00CE1EAB" w:rsidRDefault="00323292">
      <w:pPr>
        <w:pStyle w:val="textindentbasis"/>
      </w:pPr>
      <w:r>
        <w:t>Captions of both figures and tables should be kept short.  Explanatory material and defin</w:t>
      </w:r>
      <w:r>
        <w:t>i</w:t>
      </w:r>
      <w:r>
        <w:t>tions related to figures and tables should be incorporated into the text of the paper.  If abs</w:t>
      </w:r>
      <w:r>
        <w:t>o</w:t>
      </w:r>
      <w:r>
        <w:t>lutely necessary, an explanatory note can be placed below the figure or table (in the case of figures b</w:t>
      </w:r>
      <w:r>
        <w:t>e</w:t>
      </w:r>
      <w:r>
        <w:t>low the figure caption) starting with “</w:t>
      </w:r>
      <w:r w:rsidRPr="00323292">
        <w:rPr>
          <w:i/>
        </w:rPr>
        <w:t>Note</w:t>
      </w:r>
      <w:r w:rsidR="00681443">
        <w:t>.</w:t>
      </w:r>
      <w:r>
        <w:t>” and flush left.</w:t>
      </w:r>
    </w:p>
    <w:p w:rsidR="00CE1EAB" w:rsidRDefault="00CE1EAB">
      <w:pPr>
        <w:pStyle w:val="sectionhead"/>
      </w:pPr>
      <w:r>
        <w:t>5.  Citing and Listing References</w:t>
      </w:r>
    </w:p>
    <w:p w:rsidR="00CE1EAB" w:rsidRDefault="00CE1EAB">
      <w:pPr>
        <w:pStyle w:val="textnoindent"/>
      </w:pPr>
      <w:r>
        <w:t>Since authors’ files are used to produce the journal paper, it is very important that accepted p</w:t>
      </w:r>
      <w:r>
        <w:t>a</w:t>
      </w:r>
      <w:r>
        <w:t>pers conform exactly to our style, both in the References list at the end and at their point of cit</w:t>
      </w:r>
      <w:r>
        <w:t>a</w:t>
      </w:r>
      <w:r>
        <w:t>tion in the text; authors also need to check that each entry in the References list at the end is cited in the text, and that each citation in the text has an entry in the References list.  References are listed alphabetically by the first author’s last name at the end of the paper, and are not nu</w:t>
      </w:r>
      <w:r>
        <w:t>m</w:t>
      </w:r>
      <w:r>
        <w:t>bered</w:t>
      </w:r>
      <w:r w:rsidR="005F151C">
        <w:t xml:space="preserve">; for multiple papers with the same first author, break ties first by </w:t>
      </w:r>
      <w:proofErr w:type="gramStart"/>
      <w:r w:rsidR="005F151C">
        <w:t>fewest number</w:t>
      </w:r>
      <w:proofErr w:type="gramEnd"/>
      <w:r w:rsidR="005F151C">
        <w:t xml:space="preserve"> of a</w:t>
      </w:r>
      <w:r w:rsidR="005F151C">
        <w:t>u</w:t>
      </w:r>
      <w:r w:rsidR="005F151C">
        <w:t>thors, then alphabetically by the last name of the second author, third author, etc., then by year</w:t>
      </w:r>
      <w:r>
        <w:t>.  See the list at the end of this paper for examples of the style for a published jour</w:t>
      </w:r>
      <w:r>
        <w:softHyphen/>
        <w:t>nal paper (Bradley et al. 1999), a book (Therrien 1992), a chapter in a book (Agrawal et al. 1996), a conference procee</w:t>
      </w:r>
      <w:r>
        <w:t>d</w:t>
      </w:r>
      <w:r>
        <w:t>ings paper (Osuna et al. 1997), and a report (Neal and Hinton 1997, Robinson 1973).  For refe</w:t>
      </w:r>
      <w:r>
        <w:t>r</w:t>
      </w:r>
      <w:r>
        <w:t>ences with three or more authors, use the “et al.” form illustrated above.  For multiple refe</w:t>
      </w:r>
      <w:r>
        <w:t>r</w:t>
      </w:r>
      <w:r>
        <w:t>ences with the same author sequence and year, append a, b, c, etc. to the year in both the refe</w:t>
      </w:r>
      <w:r>
        <w:t>r</w:t>
      </w:r>
      <w:r>
        <w:t>ence list near the end of the p</w:t>
      </w:r>
      <w:r>
        <w:t>a</w:t>
      </w:r>
      <w:r>
        <w:t>per and in the citations in the text.</w:t>
      </w:r>
    </w:p>
    <w:p w:rsidR="00CE1EAB" w:rsidRDefault="00CE1EAB">
      <w:pPr>
        <w:pStyle w:val="textindentbasis"/>
      </w:pPr>
      <w:r>
        <w:t xml:space="preserve">Citations (sometimes called </w:t>
      </w:r>
      <w:r>
        <w:rPr>
          <w:i/>
          <w:iCs/>
        </w:rPr>
        <w:t>callouts</w:t>
      </w:r>
      <w:r>
        <w:t>) in the text can be as in the preceding paragraph when it is convenient in the writing to put the entire citation in parentheses.  Citations directly in the flow of a sentence should mention the author’s name(s) and the date in parentheses, as in Bradley et al. (1999).  Web addresses can appear in the reference list as well, such as Osuna et al. (1997).  Please check every web address in the paper to make sure that it works and is correct.</w:t>
      </w:r>
    </w:p>
    <w:p w:rsidR="000A59C6" w:rsidRDefault="000A59C6">
      <w:pPr>
        <w:pStyle w:val="textindentbasis"/>
      </w:pPr>
      <w:r>
        <w:t>LaTeX users may optionally use BiBTeX, and we supply a support package (in the file JOC-BiBTeX-tools.zip) that can be downloaded from the Instructions for Authors section on the jou</w:t>
      </w:r>
      <w:r>
        <w:t>r</w:t>
      </w:r>
      <w:r>
        <w:t>nal’s website (http://joc.pubs.informs.org).</w:t>
      </w:r>
    </w:p>
    <w:p w:rsidR="00CE1EAB" w:rsidRDefault="00CE1EAB">
      <w:pPr>
        <w:pStyle w:val="sectionhead"/>
      </w:pPr>
      <w:r>
        <w:lastRenderedPageBreak/>
        <w:t>6.  Online Supplements</w:t>
      </w:r>
    </w:p>
    <w:p w:rsidR="00CE1EAB" w:rsidRDefault="00CE1EAB">
      <w:pPr>
        <w:pStyle w:val="textnoindent"/>
      </w:pPr>
      <w:r>
        <w:rPr>
          <w:i/>
          <w:iCs/>
        </w:rPr>
        <w:t>JOC</w:t>
      </w:r>
      <w:r>
        <w:t xml:space="preserve"> is committed to maintaining, as part of its web site, Online Supplements to published p</w:t>
      </w:r>
      <w:r>
        <w:t>a</w:t>
      </w:r>
      <w:r>
        <w:t>pers.  This affords authors great flexibility to make available material like backup tables and fi</w:t>
      </w:r>
      <w:r>
        <w:t>g</w:t>
      </w:r>
      <w:r>
        <w:t>ures too vol</w:t>
      </w:r>
      <w:r>
        <w:t>u</w:t>
      </w:r>
      <w:r>
        <w:t>minous to include in the printed paper, programs and code, executable software, and live links to other web sites maintained by authors (it is the responsibility of the authors to mai</w:t>
      </w:r>
      <w:r>
        <w:t>n</w:t>
      </w:r>
      <w:r>
        <w:t>tain the existence and currency of such sites).</w:t>
      </w:r>
    </w:p>
    <w:p w:rsidR="00CE1EAB" w:rsidRDefault="00CE1EAB">
      <w:pPr>
        <w:pStyle w:val="textindentbasis"/>
      </w:pPr>
      <w:r>
        <w:t>Each p</w:t>
      </w:r>
      <w:r>
        <w:t>a</w:t>
      </w:r>
      <w:r>
        <w:t xml:space="preserve">per may have as its Online Supplement a single web page, linked from the </w:t>
      </w:r>
      <w:r>
        <w:rPr>
          <w:i/>
          <w:iCs/>
        </w:rPr>
        <w:t>JOC</w:t>
      </w:r>
      <w:r>
        <w:t xml:space="preserve"> web site, which in turn can link to textual information (e.g., in PDF or PostScript format), code files, executable binary files, or other links, as the author pr</w:t>
      </w:r>
      <w:r>
        <w:t>e</w:t>
      </w:r>
      <w:r>
        <w:t xml:space="preserve">fers.  Within reason, </w:t>
      </w:r>
      <w:r>
        <w:rPr>
          <w:i/>
          <w:iCs/>
        </w:rPr>
        <w:t>JOC</w:t>
      </w:r>
      <w:r>
        <w:t xml:space="preserve"> will host these linked files as well as the root web page for a paper’s Online Supplement.</w:t>
      </w:r>
    </w:p>
    <w:p w:rsidR="00CE1EAB" w:rsidRDefault="00CE1EAB">
      <w:pPr>
        <w:pStyle w:val="sectionhead"/>
      </w:pPr>
      <w:r>
        <w:t>7.  Conclusions</w:t>
      </w:r>
    </w:p>
    <w:p w:rsidR="00CE1EAB" w:rsidRDefault="00CE1EAB">
      <w:pPr>
        <w:pStyle w:val="textnoindent"/>
      </w:pPr>
      <w:r>
        <w:t>For writing issues not covered here, please consult the Editor-in-Chief.  The web site for the journal is at http://joc.pubs.informs.org/.</w:t>
      </w:r>
    </w:p>
    <w:p w:rsidR="00CE1EAB" w:rsidRDefault="00CE1EAB">
      <w:pPr>
        <w:pStyle w:val="sectionhead"/>
      </w:pPr>
      <w:r>
        <w:t>Appendix</w:t>
      </w:r>
    </w:p>
    <w:p w:rsidR="00CE1EAB" w:rsidRDefault="00CE1EAB">
      <w:pPr>
        <w:pStyle w:val="textnoindent"/>
      </w:pPr>
      <w:r>
        <w:t>Any appendix material follows the body of the paper but comes before the reference list.  There can be just one en</w:t>
      </w:r>
      <w:r>
        <w:softHyphen/>
        <w:t>titled “Appendix” or something like “Appendix: Proofs of Lemmas,” or there could be several entitled “Appendix 1,” “Appendix 2,” etc., or something like “Appendix 1a: Proofs of Propositions” and “Appendix 1b: Tables of Com</w:t>
      </w:r>
      <w:r>
        <w:softHyphen/>
        <w:t>putational Experience.”  If set-off mathematical expressions are numbered, number them (A1), (A2), etc. throughout all appe</w:t>
      </w:r>
      <w:r>
        <w:t>n</w:t>
      </w:r>
      <w:r>
        <w:t>dices.  If figures are used in an appendix, number them Figure A1, A2, etc., and similarly for t</w:t>
      </w:r>
      <w:r>
        <w:t>a</w:t>
      </w:r>
      <w:r>
        <w:t>bles.  Though appendix text will be typeset in a smaller font for the journal, do not do so in the manuscript, for ease of copyediting (the same is true for the Acknowledgments text and the Re</w:t>
      </w:r>
      <w:r>
        <w:t>f</w:t>
      </w:r>
      <w:r>
        <w:t>erences list).</w:t>
      </w:r>
    </w:p>
    <w:p w:rsidR="00CE1EAB" w:rsidRDefault="00CE1EAB">
      <w:pPr>
        <w:pStyle w:val="textindentbasis"/>
      </w:pPr>
      <w:r>
        <w:t>Consider the possibility of an Online Supplement, discussed in Section 6, for material that might traditionally have gone into a printed appendix.</w:t>
      </w:r>
    </w:p>
    <w:p w:rsidR="00CE1EAB" w:rsidRDefault="00CE1EAB">
      <w:pPr>
        <w:pStyle w:val="sectionhead"/>
      </w:pPr>
      <w:r>
        <w:lastRenderedPageBreak/>
        <w:t>Acknowledgments</w:t>
      </w:r>
    </w:p>
    <w:p w:rsidR="00CE1EAB" w:rsidRDefault="00CE1EAB">
      <w:pPr>
        <w:pStyle w:val="textnoindent"/>
      </w:pPr>
      <w:r>
        <w:t>All acknowledgments to people and supporting grants should be made in a separate section with an unnumbered section header just before the References.  Acknowledgments should not a</w:t>
      </w:r>
      <w:r>
        <w:t>p</w:t>
      </w:r>
      <w:r>
        <w:t>pear on the title page or as a footnote.</w:t>
      </w:r>
    </w:p>
    <w:p w:rsidR="00CE1EAB" w:rsidRDefault="00CE1EAB">
      <w:pPr>
        <w:pStyle w:val="sectionhead"/>
      </w:pPr>
      <w:r>
        <w:t>References</w:t>
      </w:r>
    </w:p>
    <w:p w:rsidR="00CE1EAB" w:rsidRDefault="00CE1EAB">
      <w:pPr>
        <w:pStyle w:val="referencelist"/>
      </w:pPr>
      <w:r>
        <w:t xml:space="preserve">Agrawal, R., H. Mannila, R. Srikant, H. Toivonen, </w:t>
      </w:r>
      <w:smartTag w:uri="urn:schemas-microsoft-com:office:smarttags" w:element="place">
        <w:r>
          <w:t>I.</w:t>
        </w:r>
      </w:smartTag>
      <w:r>
        <w:t xml:space="preserve"> Verkamo.  1996.  Fast discovery of asso</w:t>
      </w:r>
      <w:r>
        <w:softHyphen/>
        <w:t xml:space="preserve">ciation rules.  U. Fayyad, G. Piatetsky-Shapiro, P. Smyth, R. Uthurusamy, </w:t>
      </w:r>
      <w:proofErr w:type="gramStart"/>
      <w:r>
        <w:t>eds</w:t>
      </w:r>
      <w:proofErr w:type="gramEnd"/>
      <w:r>
        <w:t xml:space="preserve">.  </w:t>
      </w:r>
      <w:proofErr w:type="gramStart"/>
      <w:r>
        <w:rPr>
          <w:i/>
          <w:iCs/>
        </w:rPr>
        <w:t>Advances in Knowledge Discovery and Data Mining</w:t>
      </w:r>
      <w:r>
        <w:t>.</w:t>
      </w:r>
      <w:proofErr w:type="gramEnd"/>
      <w:r>
        <w:t xml:space="preserve">  </w:t>
      </w:r>
      <w:proofErr w:type="gramStart"/>
      <w:r>
        <w:t xml:space="preserve">MIT Press, </w:t>
      </w:r>
      <w:smartTag w:uri="urn:schemas-microsoft-com:office:smarttags" w:element="place">
        <w:smartTag w:uri="urn:schemas-microsoft-com:office:smarttags" w:element="City">
          <w:r>
            <w:t>Cambridge</w:t>
          </w:r>
        </w:smartTag>
        <w:r>
          <w:t xml:space="preserve">, </w:t>
        </w:r>
        <w:smartTag w:uri="urn:schemas-microsoft-com:office:smarttags" w:element="State">
          <w:r>
            <w:t>MA</w:t>
          </w:r>
        </w:smartTag>
      </w:smartTag>
      <w:r>
        <w:t>.</w:t>
      </w:r>
      <w:proofErr w:type="gramEnd"/>
      <w:r>
        <w:t xml:space="preserve">  </w:t>
      </w:r>
      <w:proofErr w:type="gramStart"/>
      <w:r>
        <w:t>307–328.</w:t>
      </w:r>
      <w:proofErr w:type="gramEnd"/>
    </w:p>
    <w:p w:rsidR="00CE1EAB" w:rsidRDefault="00CE1EAB">
      <w:pPr>
        <w:pStyle w:val="referencelist"/>
      </w:pPr>
      <w:r>
        <w:t>Bradley, P.S., U.M. Fayyad, O.L. Mangasarian.  1999.  Mathematical programming for data mi</w:t>
      </w:r>
      <w:r>
        <w:t>n</w:t>
      </w:r>
      <w:r>
        <w:t xml:space="preserve">ing: formulations and challenges.  </w:t>
      </w:r>
      <w:proofErr w:type="gramStart"/>
      <w:r>
        <w:rPr>
          <w:i/>
          <w:iCs/>
        </w:rPr>
        <w:t>INFORMS J. Computing</w:t>
      </w:r>
      <w:r>
        <w:t xml:space="preserve"> </w:t>
      </w:r>
      <w:r>
        <w:rPr>
          <w:b/>
          <w:bCs/>
        </w:rPr>
        <w:t>11</w:t>
      </w:r>
      <w:r>
        <w:t xml:space="preserve"> 217–238.</w:t>
      </w:r>
      <w:proofErr w:type="gramEnd"/>
    </w:p>
    <w:p w:rsidR="00CE1EAB" w:rsidRDefault="00CE1EAB">
      <w:pPr>
        <w:pStyle w:val="referencelist"/>
      </w:pPr>
      <w:r>
        <w:t xml:space="preserve">Neal, R.M., G.E. Hinton.  1997.  A view of the EM algorithm that justifies incremental, sparse, and other variants.  </w:t>
      </w:r>
      <w:proofErr w:type="gramStart"/>
      <w:r>
        <w:t xml:space="preserve">Technical Report, Department of Statistics and Department of Computer Science, </w:t>
      </w:r>
      <w:smartTag w:uri="urn:schemas-microsoft-com:office:smarttags" w:element="PlaceType">
        <w:r>
          <w:t>University</w:t>
        </w:r>
      </w:smartTag>
      <w:r>
        <w:t xml:space="preserve"> of </w:t>
      </w:r>
      <w:smartTag w:uri="urn:schemas-microsoft-com:office:smarttags" w:element="PlaceName">
        <w:r>
          <w:t>Toronto</w:t>
        </w:r>
      </w:smartTag>
      <w:r>
        <w:t xml:space="preserve">, </w:t>
      </w:r>
      <w:smartTag w:uri="urn:schemas-microsoft-com:office:smarttags" w:element="place">
        <w:smartTag w:uri="urn:schemas-microsoft-com:office:smarttags" w:element="City">
          <w:r>
            <w:t>Toronto</w:t>
          </w:r>
        </w:smartTag>
        <w:r>
          <w:t xml:space="preserve">, </w:t>
        </w:r>
        <w:smartTag w:uri="urn:schemas-microsoft-com:office:smarttags" w:element="State">
          <w:r>
            <w:t>Ontario</w:t>
          </w:r>
        </w:smartTag>
        <w:r>
          <w:t xml:space="preserve">, </w:t>
        </w:r>
        <w:smartTag w:uri="urn:schemas-microsoft-com:office:smarttags" w:element="country-region">
          <w:r>
            <w:t>Canada</w:t>
          </w:r>
        </w:smartTag>
      </w:smartTag>
      <w:r>
        <w:t>.</w:t>
      </w:r>
      <w:proofErr w:type="gramEnd"/>
    </w:p>
    <w:p w:rsidR="00CE1EAB" w:rsidRDefault="00CE1EAB">
      <w:pPr>
        <w:pStyle w:val="referencelist"/>
      </w:pPr>
      <w:r>
        <w:t xml:space="preserve">Osuna, E., R. Freund, F. Girosi.  1997.  Training support vector machines:  an application to face detection.  </w:t>
      </w:r>
      <w:r>
        <w:rPr>
          <w:i/>
          <w:iCs/>
        </w:rPr>
        <w:t>IEEE Conference on Computer Vision and Pattern Recognition, Puerto Rico, June 1997</w:t>
      </w:r>
      <w:r>
        <w:t xml:space="preserve">, IEEE Press, </w:t>
      </w:r>
      <w:smartTag w:uri="urn:schemas-microsoft-com:office:smarttags" w:element="place">
        <w:smartTag w:uri="urn:schemas-microsoft-com:office:smarttags" w:element="State">
          <w:r>
            <w:t>New York</w:t>
          </w:r>
        </w:smartTag>
      </w:smartTag>
      <w:r>
        <w:t xml:space="preserve">.  </w:t>
      </w:r>
      <w:proofErr w:type="gramStart"/>
      <w:r>
        <w:t>130–136.</w:t>
      </w:r>
      <w:proofErr w:type="gramEnd"/>
      <w:r>
        <w:t xml:space="preserve">  http://www.ai.mit.edu/people/girosi/home-page/svm.html.</w:t>
      </w:r>
    </w:p>
    <w:p w:rsidR="00CE1EAB" w:rsidRDefault="00CE1EAB">
      <w:pPr>
        <w:pStyle w:val="referencelist"/>
      </w:pPr>
      <w:r>
        <w:t xml:space="preserve">Robinson, S.M.  1973.  Perturbations in finite-dimensional systems of linear inequalities and equations.  </w:t>
      </w:r>
      <w:proofErr w:type="gramStart"/>
      <w:r>
        <w:t xml:space="preserve">Technical Summary Report No. 1357, </w:t>
      </w:r>
      <w:smartTag w:uri="urn:schemas-microsoft-com:office:smarttags" w:element="PlaceName">
        <w:r>
          <w:t>Mathematics</w:t>
        </w:r>
      </w:smartTag>
      <w:r>
        <w:t xml:space="preserve"> </w:t>
      </w:r>
      <w:smartTag w:uri="urn:schemas-microsoft-com:office:smarttags" w:element="PlaceName">
        <w:r>
          <w:t>Research</w:t>
        </w:r>
      </w:smartTag>
      <w:r>
        <w:t xml:space="preserve"> </w:t>
      </w:r>
      <w:smartTag w:uri="urn:schemas-microsoft-com:office:smarttags" w:element="PlaceType">
        <w:r>
          <w:t>Center</w:t>
        </w:r>
      </w:smartTag>
      <w:r>
        <w:t xml:space="preserve">, </w:t>
      </w:r>
      <w:smartTag w:uri="urn:schemas-microsoft-com:office:smarttags" w:element="PlaceType">
        <w:r>
          <w:t>University</w:t>
        </w:r>
      </w:smartTag>
      <w:r>
        <w:t xml:space="preserve"> of </w:t>
      </w:r>
      <w:smartTag w:uri="urn:schemas-microsoft-com:office:smarttags" w:element="PlaceName">
        <w:r>
          <w:t>Wisconsin</w:t>
        </w:r>
      </w:smartTag>
      <w:r>
        <w:t xml:space="preserve">, </w:t>
      </w:r>
      <w:smartTag w:uri="urn:schemas-microsoft-com:office:smarttags" w:element="place">
        <w:smartTag w:uri="urn:schemas-microsoft-com:office:smarttags" w:element="City">
          <w:r>
            <w:t>Madison</w:t>
          </w:r>
        </w:smartTag>
        <w:r>
          <w:t xml:space="preserve">, </w:t>
        </w:r>
        <w:smartTag w:uri="urn:schemas-microsoft-com:office:smarttags" w:element="State">
          <w:r>
            <w:t>WI</w:t>
          </w:r>
        </w:smartTag>
      </w:smartTag>
      <w:r>
        <w:t>.</w:t>
      </w:r>
      <w:proofErr w:type="gramEnd"/>
    </w:p>
    <w:p w:rsidR="00CE1EAB" w:rsidRDefault="00CE1EAB">
      <w:pPr>
        <w:pStyle w:val="referencelist"/>
      </w:pPr>
      <w:r>
        <w:t xml:space="preserve">Therrien, C.W.  1992.  </w:t>
      </w:r>
      <w:r>
        <w:rPr>
          <w:i/>
          <w:iCs/>
        </w:rPr>
        <w:t>Discrete Random Signals and Statistical Signal Processing</w:t>
      </w:r>
      <w:r>
        <w:t xml:space="preserve">.  </w:t>
      </w:r>
      <w:proofErr w:type="gramStart"/>
      <w:r>
        <w:t xml:space="preserve">Prentice-Hall, </w:t>
      </w:r>
      <w:smartTag w:uri="urn:schemas-microsoft-com:office:smarttags" w:element="place">
        <w:smartTag w:uri="urn:schemas-microsoft-com:office:smarttags" w:element="City">
          <w:r>
            <w:t>Englewood</w:t>
          </w:r>
        </w:smartTag>
      </w:smartTag>
      <w:r>
        <w:t xml:space="preserve"> Cliffs, NJ.</w:t>
      </w:r>
      <w:proofErr w:type="gramEnd"/>
    </w:p>
    <w:sectPr w:rsidR="00CE1EAB">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D1C" w:rsidRDefault="00382D1C">
      <w:r>
        <w:separator/>
      </w:r>
    </w:p>
  </w:endnote>
  <w:endnote w:type="continuationSeparator" w:id="0">
    <w:p w:rsidR="00382D1C" w:rsidRDefault="00382D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EAB" w:rsidRDefault="00CE1E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CE1EAB" w:rsidRDefault="00CE1EA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EAB" w:rsidRDefault="00CE1EAB">
    <w:pPr>
      <w:pStyle w:val="Footer"/>
      <w:framePr w:wrap="around" w:vAnchor="text" w:hAnchor="margin" w:xAlign="center" w:y="1"/>
      <w:rPr>
        <w:rStyle w:val="PageNumbe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PAGE  </w:instrText>
    </w:r>
    <w:r>
      <w:rPr>
        <w:rStyle w:val="PageNumber"/>
        <w:rFonts w:ascii="Times New Roman" w:hAnsi="Times New Roman"/>
        <w:sz w:val="24"/>
      </w:rPr>
      <w:fldChar w:fldCharType="separate"/>
    </w:r>
    <w:r w:rsidR="002C1F7D">
      <w:rPr>
        <w:rStyle w:val="PageNumber"/>
        <w:rFonts w:ascii="Times New Roman" w:hAnsi="Times New Roman"/>
        <w:noProof/>
        <w:sz w:val="24"/>
      </w:rPr>
      <w:t>1</w:t>
    </w:r>
    <w:r>
      <w:rPr>
        <w:rStyle w:val="PageNumber"/>
        <w:rFonts w:ascii="Times New Roman" w:hAnsi="Times New Roman"/>
        <w:sz w:val="24"/>
      </w:rPr>
      <w:fldChar w:fldCharType="end"/>
    </w:r>
  </w:p>
  <w:p w:rsidR="00CE1EAB" w:rsidRDefault="00CE1E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D1C" w:rsidRDefault="00382D1C">
      <w:r>
        <w:separator/>
      </w:r>
    </w:p>
  </w:footnote>
  <w:footnote w:type="continuationSeparator" w:id="0">
    <w:p w:rsidR="00382D1C" w:rsidRDefault="00382D1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activeWritingStyle w:appName="MSWord" w:lang="en-US" w:vendorID="64" w:dllVersion="131078" w:nlCheck="1" w:checkStyle="1"/>
  <w:proofState w:spelling="clean" w:grammar="clean"/>
  <w:stylePaneFormatFilter w:val="3F01"/>
  <w:defaultTabStop w:val="720"/>
  <w:autoHyphenation/>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4E6EBF"/>
    <w:rsid w:val="00016B69"/>
    <w:rsid w:val="000A59C6"/>
    <w:rsid w:val="002621A7"/>
    <w:rsid w:val="002B671B"/>
    <w:rsid w:val="002C1F7D"/>
    <w:rsid w:val="002D2324"/>
    <w:rsid w:val="00323292"/>
    <w:rsid w:val="00382D1C"/>
    <w:rsid w:val="003C04AD"/>
    <w:rsid w:val="0044295F"/>
    <w:rsid w:val="00456C02"/>
    <w:rsid w:val="004754D8"/>
    <w:rsid w:val="004E6EBF"/>
    <w:rsid w:val="00505795"/>
    <w:rsid w:val="00510BFD"/>
    <w:rsid w:val="005B040C"/>
    <w:rsid w:val="005D30D7"/>
    <w:rsid w:val="005F151C"/>
    <w:rsid w:val="00676EB3"/>
    <w:rsid w:val="00681443"/>
    <w:rsid w:val="0072159E"/>
    <w:rsid w:val="0081446C"/>
    <w:rsid w:val="008439AB"/>
    <w:rsid w:val="0084685B"/>
    <w:rsid w:val="00913D77"/>
    <w:rsid w:val="00A317D6"/>
    <w:rsid w:val="00AA2A40"/>
    <w:rsid w:val="00B33150"/>
    <w:rsid w:val="00B360F8"/>
    <w:rsid w:val="00BA5329"/>
    <w:rsid w:val="00C6222B"/>
    <w:rsid w:val="00C73E20"/>
    <w:rsid w:val="00C81993"/>
    <w:rsid w:val="00CA1D97"/>
    <w:rsid w:val="00CE1EAB"/>
    <w:rsid w:val="00DD2438"/>
    <w:rsid w:val="00E61ED4"/>
    <w:rsid w:val="00F16AB6"/>
    <w:rsid w:val="00F34839"/>
    <w:rsid w:val="00F42D3E"/>
    <w:rsid w:val="00F73E23"/>
    <w:rsid w:val="00FA74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country-region"/>
  <w:shapeDefaults>
    <o:shapedefaults v:ext="edit" spidmax="2050">
      <o:colormenu v:ext="edit" strokecolor="none"/>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ourier New" w:hAnsi="Courier New"/>
      <w:szCs w:val="24"/>
    </w:rPr>
  </w:style>
  <w:style w:type="paragraph" w:styleId="Heading1">
    <w:name w:val="heading 1"/>
    <w:basedOn w:val="Normal"/>
    <w:next w:val="Normal"/>
    <w:qFormat/>
    <w:pPr>
      <w:keepNext/>
      <w:jc w:val="center"/>
      <w:outlineLvl w:val="0"/>
    </w:pPr>
    <w:rPr>
      <w:rFonts w:ascii="Times New Roman" w:hAnsi="Times New Roman"/>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rFonts w:ascii="Times New Roman" w:hAnsi="Times New Roman"/>
      <w:b/>
      <w:bCs/>
    </w:rPr>
  </w:style>
  <w:style w:type="paragraph" w:styleId="BodyText2">
    <w:name w:val="Body Text 2"/>
    <w:basedOn w:val="Normal"/>
    <w:pPr>
      <w:spacing w:line="360" w:lineRule="auto"/>
    </w:pPr>
    <w:rPr>
      <w:rFonts w:ascii="Times New Roman" w:hAnsi="Times New Roman"/>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pPr>
      <w:spacing w:line="360" w:lineRule="auto"/>
      <w:ind w:firstLine="720"/>
    </w:pPr>
    <w:rPr>
      <w:rFonts w:ascii="Times New Roman" w:hAnsi="Times New Roman"/>
      <w:sz w:val="24"/>
    </w:rPr>
  </w:style>
  <w:style w:type="paragraph" w:styleId="Title">
    <w:name w:val="Title"/>
    <w:basedOn w:val="Normal"/>
    <w:qFormat/>
    <w:pPr>
      <w:jc w:val="center"/>
      <w:outlineLvl w:val="0"/>
    </w:pPr>
    <w:rPr>
      <w:rFonts w:ascii="Times New Roman" w:hAnsi="Times New Roman"/>
      <w:b/>
      <w:bCs/>
      <w:sz w:val="48"/>
    </w:rPr>
  </w:style>
  <w:style w:type="paragraph" w:styleId="FootnoteText">
    <w:name w:val="footnote text"/>
    <w:basedOn w:val="Normal"/>
    <w:semiHidden/>
    <w:rPr>
      <w:rFonts w:ascii="Times New Roman" w:hAnsi="Times New Roman"/>
      <w:szCs w:val="20"/>
    </w:rPr>
  </w:style>
  <w:style w:type="paragraph" w:customStyle="1" w:styleId="textindentbasis">
    <w:name w:val="text indent (basis)"/>
    <w:basedOn w:val="BodyTextIndent"/>
    <w:pPr>
      <w:ind w:firstLine="360"/>
      <w:jc w:val="both"/>
    </w:pPr>
  </w:style>
  <w:style w:type="paragraph" w:customStyle="1" w:styleId="textnoindent">
    <w:name w:val="text noindent"/>
    <w:basedOn w:val="textindentbasis"/>
    <w:pPr>
      <w:ind w:firstLine="0"/>
    </w:pPr>
  </w:style>
  <w:style w:type="paragraph" w:customStyle="1" w:styleId="sectionhead">
    <w:name w:val="section head"/>
    <w:basedOn w:val="textnoindent"/>
    <w:pPr>
      <w:keepNext/>
      <w:spacing w:before="360"/>
    </w:pPr>
    <w:rPr>
      <w:b/>
      <w:bCs/>
      <w:sz w:val="36"/>
    </w:rPr>
  </w:style>
  <w:style w:type="paragraph" w:customStyle="1" w:styleId="subsectionhead">
    <w:name w:val="subsection head"/>
    <w:basedOn w:val="textnoindent"/>
    <w:pPr>
      <w:keepNext/>
      <w:spacing w:before="240"/>
    </w:pPr>
    <w:rPr>
      <w:b/>
      <w:bCs/>
      <w:sz w:val="28"/>
    </w:rPr>
  </w:style>
  <w:style w:type="paragraph" w:customStyle="1" w:styleId="referencelist">
    <w:name w:val="reference list"/>
    <w:basedOn w:val="textnoindent"/>
    <w:pPr>
      <w:ind w:left="360" w:hanging="360"/>
    </w:pPr>
  </w:style>
  <w:style w:type="character" w:styleId="FootnoteReference">
    <w:name w:val="footnote reference"/>
    <w:basedOn w:val="DefaultParagraphFont"/>
    <w:semiHidden/>
    <w:rPr>
      <w:vertAlign w:val="superscript"/>
    </w:rPr>
  </w:style>
  <w:style w:type="character" w:styleId="Hyperlink">
    <w:name w:val="Hyperlink"/>
    <w:basedOn w:val="DefaultParagraphFont"/>
    <w:rsid w:val="00016B6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2001</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Preparing Manuscripts</vt:lpstr>
    </vt:vector>
  </TitlesOfParts>
  <Company>Universtiy of Cincinnati</Company>
  <LinksUpToDate>false</LinksUpToDate>
  <CharactersWithSpaces>13381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Manuscripts</dc:title>
  <dc:creator>W. David Kelton</dc:creator>
  <cp:lastModifiedBy>Dan Davis</cp:lastModifiedBy>
  <cp:revision>2</cp:revision>
  <cp:lastPrinted>2003-12-30T04:17:00Z</cp:lastPrinted>
  <dcterms:created xsi:type="dcterms:W3CDTF">2013-08-11T16:55:00Z</dcterms:created>
  <dcterms:modified xsi:type="dcterms:W3CDTF">2013-08-11T16:55:00Z</dcterms:modified>
</cp:coreProperties>
</file>