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30" w:rsidRPr="00867030" w:rsidRDefault="00867030" w:rsidP="00867030">
      <w:pPr>
        <w:jc w:val="center"/>
        <w:rPr>
          <w:b/>
          <w:sz w:val="28"/>
        </w:rPr>
      </w:pPr>
      <w:r w:rsidRPr="00867030">
        <w:rPr>
          <w:b/>
          <w:sz w:val="28"/>
        </w:rPr>
        <w:t>Data Visualization and Large-Scale Battlespace Simulations:</w:t>
      </w:r>
    </w:p>
    <w:p w:rsidR="003D2540" w:rsidRDefault="00867030" w:rsidP="00867030">
      <w:pPr>
        <w:spacing w:after="120"/>
        <w:jc w:val="center"/>
        <w:rPr>
          <w:bCs/>
          <w:sz w:val="28"/>
        </w:rPr>
      </w:pPr>
      <w:r w:rsidRPr="00867030">
        <w:rPr>
          <w:b/>
          <w:sz w:val="28"/>
        </w:rPr>
        <w:t>Challenges, Opportunities and Emerging Technologies</w:t>
      </w:r>
    </w:p>
    <w:tbl>
      <w:tblPr>
        <w:tblW w:w="14239" w:type="dxa"/>
        <w:tblLook w:val="0000"/>
      </w:tblPr>
      <w:tblGrid>
        <w:gridCol w:w="3078"/>
        <w:gridCol w:w="3060"/>
        <w:gridCol w:w="3060"/>
        <w:gridCol w:w="5041"/>
      </w:tblGrid>
      <w:tr w:rsidR="00867030" w:rsidTr="00867030">
        <w:trPr>
          <w:trHeight w:hRule="exact" w:val="273"/>
        </w:trPr>
        <w:tc>
          <w:tcPr>
            <w:tcW w:w="3078" w:type="dxa"/>
          </w:tcPr>
          <w:p w:rsidR="00867030" w:rsidRDefault="00867030" w:rsidP="00000E15">
            <w:pPr>
              <w:jc w:val="center"/>
              <w:rPr>
                <w:b/>
                <w:bCs/>
                <w:iCs/>
              </w:rPr>
            </w:pPr>
            <w:r>
              <w:rPr>
                <w:b/>
                <w:bCs/>
                <w:iCs/>
              </w:rPr>
              <w:t>E. Philip Amburn</w:t>
            </w:r>
          </w:p>
        </w:tc>
        <w:tc>
          <w:tcPr>
            <w:tcW w:w="3060" w:type="dxa"/>
          </w:tcPr>
          <w:p w:rsidR="00867030" w:rsidRDefault="00867030" w:rsidP="00000E15">
            <w:pPr>
              <w:jc w:val="center"/>
              <w:rPr>
                <w:b/>
                <w:bCs/>
                <w:iCs/>
              </w:rPr>
            </w:pPr>
            <w:r>
              <w:rPr>
                <w:b/>
                <w:bCs/>
                <w:iCs/>
              </w:rPr>
              <w:t>Dan M. Davis</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Robert F. Lucas</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000E15">
            <w:pPr>
              <w:jc w:val="center"/>
              <w:rPr>
                <w:b/>
                <w:bCs/>
                <w:iCs/>
              </w:rPr>
            </w:pPr>
            <w:r>
              <w:rPr>
                <w:b/>
                <w:bCs/>
                <w:iCs/>
              </w:rPr>
              <w:t>CS Dept., Univ. of Arizona</w:t>
            </w:r>
          </w:p>
        </w:tc>
        <w:tc>
          <w:tcPr>
            <w:tcW w:w="3060" w:type="dxa"/>
          </w:tcPr>
          <w:p w:rsidR="00867030" w:rsidRDefault="00867030" w:rsidP="00000E15">
            <w:pPr>
              <w:jc w:val="center"/>
              <w:rPr>
                <w:b/>
                <w:bCs/>
                <w:iCs/>
              </w:rPr>
            </w:pPr>
            <w:r>
              <w:rPr>
                <w:b/>
                <w:bCs/>
                <w:iCs/>
              </w:rPr>
              <w:t>HPC-Education</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ISI, Univ. of So. Calif.</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000E15">
            <w:pPr>
              <w:jc w:val="center"/>
              <w:rPr>
                <w:b/>
                <w:bCs/>
                <w:iCs/>
              </w:rPr>
            </w:pPr>
            <w:r>
              <w:rPr>
                <w:b/>
                <w:bCs/>
                <w:iCs/>
              </w:rPr>
              <w:t>Tucson, Arizona</w:t>
            </w:r>
          </w:p>
        </w:tc>
        <w:tc>
          <w:tcPr>
            <w:tcW w:w="3060" w:type="dxa"/>
          </w:tcPr>
          <w:p w:rsidR="00867030" w:rsidRDefault="00867030" w:rsidP="00000E15">
            <w:pPr>
              <w:jc w:val="center"/>
              <w:rPr>
                <w:b/>
                <w:bCs/>
                <w:iCs/>
              </w:rPr>
            </w:pPr>
            <w:r>
              <w:rPr>
                <w:b/>
                <w:bCs/>
                <w:iCs/>
              </w:rPr>
              <w:t>Long Beach, California</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Marina del Rey, Calif.</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867030">
            <w:pPr>
              <w:jc w:val="center"/>
              <w:rPr>
                <w:b/>
                <w:bCs/>
                <w:iCs/>
              </w:rPr>
            </w:pPr>
            <w:r>
              <w:rPr>
                <w:b/>
                <w:bCs/>
                <w:iCs/>
              </w:rPr>
              <w:t>amburn@cs.arizona.edu</w:t>
            </w:r>
          </w:p>
        </w:tc>
        <w:tc>
          <w:tcPr>
            <w:tcW w:w="3060" w:type="dxa"/>
          </w:tcPr>
          <w:p w:rsidR="00867030" w:rsidRDefault="001C5F1F" w:rsidP="00000E15">
            <w:pPr>
              <w:jc w:val="center"/>
              <w:rPr>
                <w:b/>
                <w:bCs/>
                <w:iCs/>
              </w:rPr>
            </w:pPr>
            <w:r>
              <w:rPr>
                <w:b/>
                <w:bCs/>
                <w:iCs/>
              </w:rPr>
              <w:t>ddavis@hpc-educ.org</w:t>
            </w:r>
          </w:p>
        </w:tc>
        <w:tc>
          <w:tcPr>
            <w:tcW w:w="3060" w:type="dxa"/>
          </w:tcPr>
          <w:p w:rsidR="00867030" w:rsidRDefault="001C5F1F" w:rsidP="00000E15">
            <w:pPr>
              <w:jc w:val="center"/>
              <w:rPr>
                <w:b/>
                <w:bCs/>
                <w:iCs/>
              </w:rPr>
            </w:pPr>
            <w:r>
              <w:rPr>
                <w:b/>
                <w:bCs/>
                <w:iCs/>
              </w:rPr>
              <w:t>rflucas@isi.edu</w:t>
            </w:r>
          </w:p>
        </w:tc>
        <w:tc>
          <w:tcPr>
            <w:tcW w:w="5041" w:type="dxa"/>
          </w:tcPr>
          <w:p w:rsidR="00867030" w:rsidRDefault="00867030" w:rsidP="00000E15">
            <w:pPr>
              <w:jc w:val="center"/>
              <w:rPr>
                <w:b/>
                <w:bCs/>
                <w:iCs/>
              </w:rPr>
            </w:pP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1C5F1F" w:rsidP="001C5F1F">
      <w:pPr>
        <w:jc w:val="both"/>
      </w:pPr>
      <w:r w:rsidRPr="001C5F1F">
        <w:rPr>
          <w:iCs/>
        </w:rPr>
        <w:t>This paper examines the special data visualization needs and challenges presented by large-scale battlespace simulations. Within the last decade, intelligent agent simulations have been enabled by high-performance computing to reach levels exceeding ten million ent</w:t>
      </w:r>
      <w:r>
        <w:rPr>
          <w:iCs/>
        </w:rPr>
        <w:t>ities (individual personnel, ve</w:t>
      </w:r>
      <w:r w:rsidRPr="001C5F1F">
        <w:rPr>
          <w:iCs/>
        </w:rPr>
        <w:t xml:space="preser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The paper recounts and alludes to historical examples of the difficulties in effectively conveying information within the chain of command, supporting the notion that these problems are neither unique </w:t>
      </w:r>
      <w:proofErr w:type="gramStart"/>
      <w:r w:rsidRPr="001C5F1F">
        <w:rPr>
          <w:iCs/>
        </w:rPr>
        <w:t>to simulation</w:t>
      </w:r>
      <w:proofErr w:type="gramEnd"/>
      <w:r w:rsidRPr="001C5F1F">
        <w:rPr>
          <w:iCs/>
        </w:rPr>
        <w:t xml:space="preserve"> nor are they issues that can be ignored, especially when solutions are at hand. Special emphasis will be put on new ways to convey the range of alternatives and communicate the relative likelihood of the predictions of future conditions, dispositions and actions, all without swamping the users with too much data. A survey of associated topics like causal modeling and behavioral science insights will also be presented along with analysis as to their contribution to better exploitability of the computer-generated insights. The paper concludes with recommended approaches for studying, evaluating and implementing the most promising techniques and technologies.</w:t>
      </w:r>
      <w:r w:rsidR="003D2540">
        <w:t xml:space="preserve">   </w:t>
      </w:r>
    </w:p>
    <w:p w:rsidR="003D2540" w:rsidRDefault="003D2540">
      <w:pPr>
        <w:jc w:val="both"/>
        <w:rPr>
          <w:sz w:val="28"/>
        </w:rPr>
      </w:pPr>
    </w:p>
    <w:p w:rsidR="003D2540" w:rsidRDefault="003D2540">
      <w:pPr>
        <w:jc w:val="both"/>
        <w:rPr>
          <w:sz w:val="28"/>
        </w:rPr>
      </w:pPr>
    </w:p>
    <w:p w:rsidR="003D2540" w:rsidRDefault="003D2540">
      <w:pPr>
        <w:pStyle w:val="Heading1"/>
      </w:pPr>
      <w:r>
        <w:t>ABOUT THE AUTHORS</w:t>
      </w:r>
    </w:p>
    <w:p w:rsidR="003D2540" w:rsidRDefault="003D2540"/>
    <w:p w:rsidR="001C5F1F" w:rsidRDefault="001C5F1F" w:rsidP="001C5F1F">
      <w:pPr>
        <w:pStyle w:val="BodyText2"/>
        <w:rPr>
          <w:bCs/>
        </w:rPr>
      </w:pPr>
      <w:r w:rsidRPr="001C5F1F">
        <w:rPr>
          <w:b/>
          <w:bCs/>
        </w:rPr>
        <w:t>Philip Amburn</w:t>
      </w:r>
      <w:r w:rsidRPr="001C5F1F">
        <w:rPr>
          <w:bCs/>
        </w:rPr>
        <w:t xml:space="preserve"> is an Adjunct Lecturer in the Computer Science Department of the University of Arizona. Prior to that, he was a Research Assistant Professor at Missis</w:t>
      </w:r>
      <w:r>
        <w:rPr>
          <w:bCs/>
        </w:rPr>
        <w:t xml:space="preserve">sippi State University and also had </w:t>
      </w:r>
      <w:r w:rsidRPr="001C5F1F">
        <w:rPr>
          <w:bCs/>
        </w:rPr>
        <w:t>served as an Adjunct Faculty member at the Air Force Institute of Technology (AFIT). After AFIT, he worked at Wright-Patterson AFB in Ohio for SAIC as the Forces Modeling and Simulation on-site advisor in Programming Environment and Training for the High Performance Computing Modernization Program. His research interests are constructive and virtual simulation, interactive 3D graphics, and visualization. He retired as a Lieutenant Colonel from the United States Air Force. Dr. Amburn received a BS degree in Physics from Kansas State Teac</w:t>
      </w:r>
      <w:r>
        <w:rPr>
          <w:bCs/>
        </w:rPr>
        <w:t>hers College, his MSCS degree</w:t>
      </w:r>
      <w:r w:rsidRPr="001C5F1F">
        <w:rPr>
          <w:bCs/>
        </w:rPr>
        <w:t xml:space="preserve"> from AFIT, and his Ph.D. degree in Computer Science from the University of North Carolina, Chapel Hill, where his dissertation advisor was Professor Frederick Brooks.</w:t>
      </w:r>
    </w:p>
    <w:p w:rsidR="001C5F1F" w:rsidRPr="001C5F1F" w:rsidRDefault="001C5F1F" w:rsidP="001C5F1F">
      <w:pPr>
        <w:pStyle w:val="BodyText2"/>
        <w:rPr>
          <w:bCs/>
        </w:rPr>
      </w:pPr>
    </w:p>
    <w:p w:rsidR="001C5F1F" w:rsidRDefault="001C5F1F" w:rsidP="001C5F1F">
      <w:pPr>
        <w:pStyle w:val="BodyText2"/>
        <w:rPr>
          <w:bCs/>
        </w:rPr>
      </w:pPr>
      <w:r w:rsidRPr="001C5F1F">
        <w:rPr>
          <w:b/>
          <w:bCs/>
        </w:rPr>
        <w:t>Dan M. Davis</w:t>
      </w:r>
      <w:r w:rsidRPr="001C5F1F">
        <w:rPr>
          <w:bCs/>
        </w:rPr>
        <w:t xml:space="preserve"> is a consultant for the Information Sciences Institute, University of Southern California, focusing on large-scale distributed </w:t>
      </w:r>
      <w:proofErr w:type="gramStart"/>
      <w:r w:rsidRPr="001C5F1F">
        <w:rPr>
          <w:bCs/>
        </w:rPr>
        <w:t>DoD</w:t>
      </w:r>
      <w:proofErr w:type="gramEnd"/>
      <w:r w:rsidRPr="001C5F1F">
        <w:rPr>
          <w:bCs/>
        </w:rPr>
        <w:t xml:space="preserve"> simulations. His service there was capped by his being the Director of the JESPP project for a decade. Earlier, as Assistant Director of the Center for Advanced Computing Research at Caltech, he managed Synthetic Forces Express, bringing HPC to </w:t>
      </w:r>
      <w:proofErr w:type="gramStart"/>
      <w:r w:rsidRPr="001C5F1F">
        <w:rPr>
          <w:bCs/>
        </w:rPr>
        <w:t>DoD</w:t>
      </w:r>
      <w:proofErr w:type="gramEnd"/>
      <w:r w:rsidRPr="001C5F1F">
        <w:rPr>
          <w:bCs/>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1C5F1F">
        <w:rPr>
          <w:bCs/>
        </w:rPr>
        <w:t>U.S.N.R</w:t>
      </w:r>
      <w:proofErr w:type="gramEnd"/>
      <w:r w:rsidRPr="001C5F1F">
        <w:rPr>
          <w:bCs/>
        </w:rPr>
        <w:t>. He received B.A. and J.D. degrees from the University of Colorado in Boulder.</w:t>
      </w:r>
    </w:p>
    <w:p w:rsidR="001C5F1F" w:rsidRPr="001C5F1F" w:rsidRDefault="001C5F1F" w:rsidP="001C5F1F">
      <w:pPr>
        <w:pStyle w:val="BodyText2"/>
        <w:rPr>
          <w:bCs/>
        </w:rPr>
      </w:pPr>
    </w:p>
    <w:p w:rsidR="001C5F1F" w:rsidRPr="001C5F1F" w:rsidRDefault="001C5F1F" w:rsidP="001C5F1F">
      <w:pPr>
        <w:pStyle w:val="BodyText2"/>
        <w:rPr>
          <w:bCs/>
        </w:rPr>
      </w:pPr>
      <w:r w:rsidRPr="001C5F1F">
        <w:rPr>
          <w:b/>
          <w:bCs/>
        </w:rPr>
        <w:lastRenderedPageBreak/>
        <w:t>Robert F. Lucas</w:t>
      </w:r>
      <w:r w:rsidRPr="001C5F1F">
        <w:rPr>
          <w:bCs/>
        </w:rPr>
        <w:t xml:space="preserve"> is a Deputy Director of the Information Sciences Institute</w:t>
      </w:r>
      <w:r>
        <w:rPr>
          <w:bCs/>
        </w:rPr>
        <w:t xml:space="preserve"> at the University of Southern California</w:t>
      </w:r>
      <w:r w:rsidRPr="001C5F1F">
        <w:rPr>
          <w:bCs/>
        </w:rPr>
        <w:t xml:space="preserve"> and leads the Computational Sciences Division. He is a Research Associate Professor in the USC Department of Computer Science. At ISI he manages research in computer architectures, VLSI, compilers, and other software tools. He was the principal investigator on the JESPP project from 2002 to 2011, which first implemented GPU acceleration in high performance computing for battlefield simulat</w:t>
      </w:r>
      <w:r>
        <w:rPr>
          <w:bCs/>
        </w:rPr>
        <w:t>ions. Prior to joining ISI, he</w:t>
      </w:r>
      <w:r w:rsidR="00B76BE8">
        <w:rPr>
          <w:bCs/>
        </w:rPr>
        <w:t xml:space="preserve"> did tours</w:t>
      </w:r>
      <w:r>
        <w:rPr>
          <w:bCs/>
        </w:rPr>
        <w:t xml:space="preserve"> as the</w:t>
      </w:r>
      <w:r w:rsidR="00B76BE8">
        <w:rPr>
          <w:bCs/>
        </w:rPr>
        <w:t xml:space="preserve"> D</w:t>
      </w:r>
      <w:r w:rsidRPr="001C5F1F">
        <w:rPr>
          <w:bCs/>
        </w:rPr>
        <w:t xml:space="preserve">irector </w:t>
      </w:r>
      <w:r w:rsidR="00B76BE8">
        <w:rPr>
          <w:bCs/>
        </w:rPr>
        <w:t>of</w:t>
      </w:r>
      <w:r w:rsidRPr="001C5F1F">
        <w:rPr>
          <w:bCs/>
        </w:rPr>
        <w:t xml:space="preserve"> High Performance Computing Research for NERSC at LBNL, the Deputy Director of DARPA's ITO, and a researcher at the Institute for Defense Analyses, supporting the National Security Agency. Dr. Lucas earned BS, MS, and PhD degrees in Electrical Engineering from Stanford University.</w:t>
      </w: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B76BE8" w:rsidRPr="00867030" w:rsidRDefault="003D2540" w:rsidP="00B76BE8">
      <w:pPr>
        <w:jc w:val="center"/>
        <w:rPr>
          <w:b/>
          <w:sz w:val="28"/>
        </w:rPr>
      </w:pPr>
      <w:r>
        <w:br w:type="page"/>
      </w:r>
      <w:r w:rsidR="00B76BE8" w:rsidRPr="00867030">
        <w:rPr>
          <w:b/>
          <w:sz w:val="28"/>
        </w:rPr>
        <w:lastRenderedPageBreak/>
        <w:t>Data Visualization and Large-Scale Battlespace Simulations:</w:t>
      </w:r>
    </w:p>
    <w:p w:rsidR="00B76BE8" w:rsidRDefault="00B76BE8" w:rsidP="00B76BE8">
      <w:pPr>
        <w:spacing w:after="120"/>
        <w:jc w:val="center"/>
        <w:rPr>
          <w:bCs/>
          <w:sz w:val="28"/>
        </w:rPr>
      </w:pPr>
      <w:r w:rsidRPr="00867030">
        <w:rPr>
          <w:b/>
          <w:sz w:val="28"/>
        </w:rPr>
        <w:t>Challenges, Opportunities and Emerging Technologies</w:t>
      </w:r>
    </w:p>
    <w:tbl>
      <w:tblPr>
        <w:tblW w:w="14239" w:type="dxa"/>
        <w:tblLook w:val="0000"/>
      </w:tblPr>
      <w:tblGrid>
        <w:gridCol w:w="3078"/>
        <w:gridCol w:w="3060"/>
        <w:gridCol w:w="3060"/>
        <w:gridCol w:w="5041"/>
      </w:tblGrid>
      <w:tr w:rsidR="00B76BE8" w:rsidTr="009A0CCC">
        <w:trPr>
          <w:trHeight w:hRule="exact" w:val="273"/>
        </w:trPr>
        <w:tc>
          <w:tcPr>
            <w:tcW w:w="3078" w:type="dxa"/>
          </w:tcPr>
          <w:p w:rsidR="00B76BE8" w:rsidRDefault="00B76BE8" w:rsidP="009A0CCC">
            <w:pPr>
              <w:jc w:val="center"/>
              <w:rPr>
                <w:b/>
                <w:bCs/>
                <w:iCs/>
              </w:rPr>
            </w:pPr>
            <w:r>
              <w:rPr>
                <w:b/>
                <w:bCs/>
                <w:iCs/>
              </w:rPr>
              <w:t>E. Philip Amburn</w:t>
            </w:r>
          </w:p>
        </w:tc>
        <w:tc>
          <w:tcPr>
            <w:tcW w:w="3060" w:type="dxa"/>
          </w:tcPr>
          <w:p w:rsidR="00B76BE8" w:rsidRDefault="00B76BE8" w:rsidP="009A0CCC">
            <w:pPr>
              <w:jc w:val="center"/>
              <w:rPr>
                <w:b/>
                <w:bCs/>
                <w:iCs/>
              </w:rPr>
            </w:pPr>
            <w:r>
              <w:rPr>
                <w:b/>
                <w:bCs/>
                <w:iCs/>
              </w:rPr>
              <w:t>Dan M. Davis</w:t>
            </w:r>
          </w:p>
          <w:p w:rsidR="00B76BE8" w:rsidRDefault="00B76BE8" w:rsidP="009A0CCC">
            <w:pPr>
              <w:jc w:val="center"/>
              <w:rPr>
                <w:b/>
                <w:bCs/>
                <w:iCs/>
              </w:rPr>
            </w:pPr>
          </w:p>
        </w:tc>
        <w:tc>
          <w:tcPr>
            <w:tcW w:w="3060" w:type="dxa"/>
          </w:tcPr>
          <w:p w:rsidR="00B76BE8" w:rsidRDefault="00B76BE8" w:rsidP="009A0CCC">
            <w:pPr>
              <w:jc w:val="center"/>
              <w:rPr>
                <w:b/>
                <w:bCs/>
                <w:iCs/>
              </w:rPr>
            </w:pPr>
            <w:r>
              <w:rPr>
                <w:b/>
                <w:bCs/>
                <w:iCs/>
              </w:rPr>
              <w:t>Robert F. Lucas</w:t>
            </w:r>
          </w:p>
        </w:tc>
        <w:tc>
          <w:tcPr>
            <w:tcW w:w="5041" w:type="dxa"/>
          </w:tcPr>
          <w:p w:rsidR="00B76BE8" w:rsidRDefault="00B76BE8" w:rsidP="009A0CCC">
            <w:pPr>
              <w:jc w:val="center"/>
              <w:rPr>
                <w:b/>
                <w:bCs/>
                <w:iCs/>
              </w:rPr>
            </w:pPr>
          </w:p>
        </w:tc>
      </w:tr>
      <w:tr w:rsidR="00B76BE8" w:rsidTr="009A0CCC">
        <w:trPr>
          <w:trHeight w:hRule="exact" w:val="273"/>
        </w:trPr>
        <w:tc>
          <w:tcPr>
            <w:tcW w:w="3078" w:type="dxa"/>
          </w:tcPr>
          <w:p w:rsidR="00B76BE8" w:rsidRDefault="00B76BE8" w:rsidP="009A0CCC">
            <w:pPr>
              <w:jc w:val="center"/>
              <w:rPr>
                <w:b/>
                <w:bCs/>
                <w:iCs/>
              </w:rPr>
            </w:pPr>
            <w:r>
              <w:rPr>
                <w:b/>
                <w:bCs/>
                <w:iCs/>
              </w:rPr>
              <w:t>CS Dept., Univ. of Arizona</w:t>
            </w:r>
          </w:p>
        </w:tc>
        <w:tc>
          <w:tcPr>
            <w:tcW w:w="3060" w:type="dxa"/>
          </w:tcPr>
          <w:p w:rsidR="00B76BE8" w:rsidRDefault="00B76BE8" w:rsidP="009A0CCC">
            <w:pPr>
              <w:jc w:val="center"/>
              <w:rPr>
                <w:b/>
                <w:bCs/>
                <w:iCs/>
              </w:rPr>
            </w:pPr>
            <w:r>
              <w:rPr>
                <w:b/>
                <w:bCs/>
                <w:iCs/>
              </w:rPr>
              <w:t>HPC-Education</w:t>
            </w:r>
          </w:p>
          <w:p w:rsidR="00B76BE8" w:rsidRDefault="00B76BE8" w:rsidP="009A0CCC">
            <w:pPr>
              <w:jc w:val="center"/>
              <w:rPr>
                <w:b/>
                <w:bCs/>
                <w:iCs/>
              </w:rPr>
            </w:pPr>
          </w:p>
        </w:tc>
        <w:tc>
          <w:tcPr>
            <w:tcW w:w="3060" w:type="dxa"/>
          </w:tcPr>
          <w:p w:rsidR="00B76BE8" w:rsidRDefault="00B76BE8" w:rsidP="009A0CCC">
            <w:pPr>
              <w:jc w:val="center"/>
              <w:rPr>
                <w:b/>
                <w:bCs/>
                <w:iCs/>
              </w:rPr>
            </w:pPr>
            <w:r>
              <w:rPr>
                <w:b/>
                <w:bCs/>
                <w:iCs/>
              </w:rPr>
              <w:t>ISI, Univ. of So. Calif.</w:t>
            </w:r>
          </w:p>
        </w:tc>
        <w:tc>
          <w:tcPr>
            <w:tcW w:w="5041" w:type="dxa"/>
          </w:tcPr>
          <w:p w:rsidR="00B76BE8" w:rsidRDefault="00B76BE8" w:rsidP="009A0CCC">
            <w:pPr>
              <w:jc w:val="center"/>
              <w:rPr>
                <w:b/>
                <w:bCs/>
                <w:iCs/>
              </w:rPr>
            </w:pPr>
          </w:p>
        </w:tc>
      </w:tr>
      <w:tr w:rsidR="00B76BE8" w:rsidTr="009A0CCC">
        <w:trPr>
          <w:trHeight w:hRule="exact" w:val="273"/>
        </w:trPr>
        <w:tc>
          <w:tcPr>
            <w:tcW w:w="3078" w:type="dxa"/>
          </w:tcPr>
          <w:p w:rsidR="00B76BE8" w:rsidRDefault="00B76BE8" w:rsidP="009A0CCC">
            <w:pPr>
              <w:jc w:val="center"/>
              <w:rPr>
                <w:b/>
                <w:bCs/>
                <w:iCs/>
              </w:rPr>
            </w:pPr>
            <w:r>
              <w:rPr>
                <w:b/>
                <w:bCs/>
                <w:iCs/>
              </w:rPr>
              <w:t>Tucson, Arizona</w:t>
            </w:r>
          </w:p>
        </w:tc>
        <w:tc>
          <w:tcPr>
            <w:tcW w:w="3060" w:type="dxa"/>
          </w:tcPr>
          <w:p w:rsidR="00B76BE8" w:rsidRDefault="00B76BE8" w:rsidP="009A0CCC">
            <w:pPr>
              <w:jc w:val="center"/>
              <w:rPr>
                <w:b/>
                <w:bCs/>
                <w:iCs/>
              </w:rPr>
            </w:pPr>
            <w:r>
              <w:rPr>
                <w:b/>
                <w:bCs/>
                <w:iCs/>
              </w:rPr>
              <w:t>Long Beach, California</w:t>
            </w:r>
          </w:p>
          <w:p w:rsidR="00B76BE8" w:rsidRDefault="00B76BE8" w:rsidP="009A0CCC">
            <w:pPr>
              <w:jc w:val="center"/>
              <w:rPr>
                <w:b/>
                <w:bCs/>
                <w:iCs/>
              </w:rPr>
            </w:pPr>
          </w:p>
        </w:tc>
        <w:tc>
          <w:tcPr>
            <w:tcW w:w="3060" w:type="dxa"/>
          </w:tcPr>
          <w:p w:rsidR="00B76BE8" w:rsidRDefault="00B76BE8" w:rsidP="009A0CCC">
            <w:pPr>
              <w:jc w:val="center"/>
              <w:rPr>
                <w:b/>
                <w:bCs/>
                <w:iCs/>
              </w:rPr>
            </w:pPr>
            <w:r>
              <w:rPr>
                <w:b/>
                <w:bCs/>
                <w:iCs/>
              </w:rPr>
              <w:t>Marina del Rey, Calif.</w:t>
            </w:r>
          </w:p>
        </w:tc>
        <w:tc>
          <w:tcPr>
            <w:tcW w:w="5041" w:type="dxa"/>
          </w:tcPr>
          <w:p w:rsidR="00B76BE8" w:rsidRDefault="00B76BE8" w:rsidP="009A0CCC">
            <w:pPr>
              <w:jc w:val="center"/>
              <w:rPr>
                <w:b/>
                <w:bCs/>
                <w:iCs/>
              </w:rPr>
            </w:pPr>
          </w:p>
        </w:tc>
      </w:tr>
      <w:tr w:rsidR="00B76BE8" w:rsidTr="009A0CCC">
        <w:trPr>
          <w:trHeight w:hRule="exact" w:val="273"/>
        </w:trPr>
        <w:tc>
          <w:tcPr>
            <w:tcW w:w="3078" w:type="dxa"/>
          </w:tcPr>
          <w:p w:rsidR="00B76BE8" w:rsidRDefault="00B76BE8" w:rsidP="009A0CCC">
            <w:pPr>
              <w:jc w:val="center"/>
              <w:rPr>
                <w:b/>
                <w:bCs/>
                <w:iCs/>
              </w:rPr>
            </w:pPr>
            <w:r>
              <w:rPr>
                <w:b/>
                <w:bCs/>
                <w:iCs/>
              </w:rPr>
              <w:t>amburn@cs.arizona.edu</w:t>
            </w:r>
          </w:p>
        </w:tc>
        <w:tc>
          <w:tcPr>
            <w:tcW w:w="3060" w:type="dxa"/>
          </w:tcPr>
          <w:p w:rsidR="00B76BE8" w:rsidRDefault="00B76BE8" w:rsidP="009A0CCC">
            <w:pPr>
              <w:jc w:val="center"/>
              <w:rPr>
                <w:b/>
                <w:bCs/>
                <w:iCs/>
              </w:rPr>
            </w:pPr>
            <w:r>
              <w:rPr>
                <w:b/>
                <w:bCs/>
                <w:iCs/>
              </w:rPr>
              <w:t>ddavis@hpc-educ.org</w:t>
            </w:r>
          </w:p>
        </w:tc>
        <w:tc>
          <w:tcPr>
            <w:tcW w:w="3060" w:type="dxa"/>
          </w:tcPr>
          <w:p w:rsidR="00B76BE8" w:rsidRDefault="00B76BE8" w:rsidP="009A0CCC">
            <w:pPr>
              <w:jc w:val="center"/>
              <w:rPr>
                <w:b/>
                <w:bCs/>
                <w:iCs/>
              </w:rPr>
            </w:pPr>
            <w:r>
              <w:rPr>
                <w:b/>
                <w:bCs/>
                <w:iCs/>
              </w:rPr>
              <w:t>rflucas@isi.edu</w:t>
            </w:r>
          </w:p>
        </w:tc>
        <w:tc>
          <w:tcPr>
            <w:tcW w:w="5041" w:type="dxa"/>
          </w:tcPr>
          <w:p w:rsidR="00B76BE8" w:rsidRDefault="00B76BE8" w:rsidP="009A0CCC">
            <w:pPr>
              <w:jc w:val="center"/>
              <w:rPr>
                <w:b/>
                <w:bCs/>
                <w:iCs/>
              </w:rPr>
            </w:pPr>
          </w:p>
        </w:tc>
      </w:tr>
    </w:tbl>
    <w:p w:rsidR="00AA07F5" w:rsidRDefault="00AA07F5" w:rsidP="00B76BE8">
      <w:pPr>
        <w:pStyle w:val="Title"/>
        <w:sectPr w:rsidR="00AA07F5" w:rsidSect="00754297">
          <w:headerReference w:type="default" r:id="rId11"/>
          <w:footerReference w:type="default" r:id="rId12"/>
          <w:type w:val="continuous"/>
          <w:pgSz w:w="12240" w:h="15840"/>
          <w:pgMar w:top="1440" w:right="1440" w:bottom="1440" w:left="1440" w:header="0" w:footer="780" w:gutter="0"/>
          <w:cols w:space="360" w:equalWidth="0">
            <w:col w:w="9360"/>
          </w:cols>
        </w:sectPr>
      </w:pPr>
    </w:p>
    <w:p w:rsidR="003D2540" w:rsidRDefault="003D2540">
      <w:pPr>
        <w:jc w:val="both"/>
      </w:pPr>
    </w:p>
    <w:p w:rsidR="003D2540" w:rsidRDefault="003D2540">
      <w:pPr>
        <w:jc w:val="both"/>
      </w:pPr>
    </w:p>
    <w:p w:rsidR="003D2540" w:rsidRDefault="003D2540">
      <w:pPr>
        <w:jc w:val="both"/>
        <w:sectPr w:rsidR="003D2540" w:rsidSect="00AA07F5">
          <w:type w:val="continuous"/>
          <w:pgSz w:w="12240" w:h="15840"/>
          <w:pgMar w:top="1440" w:right="720" w:bottom="1440" w:left="1440" w:header="0" w:footer="780" w:gutter="0"/>
          <w:cols w:space="360"/>
        </w:sectPr>
      </w:pPr>
    </w:p>
    <w:p w:rsidR="003D2540" w:rsidRDefault="009F4744" w:rsidP="00AA07F5">
      <w:pPr>
        <w:pStyle w:val="Heading1"/>
        <w:jc w:val="left"/>
      </w:pPr>
      <w:r>
        <w:lastRenderedPageBreak/>
        <w:t xml:space="preserve">MAJOR HEADING EXAMPLE </w:t>
      </w:r>
    </w:p>
    <w:p w:rsidR="003D2540" w:rsidRDefault="003D2540">
      <w:pPr>
        <w:jc w:val="both"/>
      </w:pPr>
    </w:p>
    <w:p w:rsidR="003D2540" w:rsidRDefault="003D2540">
      <w:pPr>
        <w:pStyle w:val="BodyText2"/>
        <w:rPr>
          <w:iCs w:val="0"/>
        </w:rPr>
      </w:pPr>
      <w:r>
        <w:rPr>
          <w:iCs w:val="0"/>
        </w:rPr>
        <w:t xml:space="preserve">Your paper should be no longer than 10 pages.  This page limit does not include the title page.  </w:t>
      </w:r>
      <w:r w:rsidR="00AA07F5">
        <w:rPr>
          <w:iCs w:val="0"/>
        </w:rPr>
        <w:t xml:space="preserve">Please note that we are changing from a two-column format to a single column format to make it easier to read on tablets. </w:t>
      </w:r>
      <w:r>
        <w:rPr>
          <w:iCs w:val="0"/>
        </w:rPr>
        <w:t xml:space="preserve"> </w:t>
      </w:r>
    </w:p>
    <w:p w:rsidR="003D2540" w:rsidRDefault="003D2540">
      <w:pPr>
        <w:jc w:val="both"/>
      </w:pPr>
    </w:p>
    <w:p w:rsidR="003D2540" w:rsidRDefault="003D2540">
      <w:pPr>
        <w:pStyle w:val="BodyText2"/>
        <w:rPr>
          <w:iCs w:val="0"/>
        </w:rPr>
      </w:pPr>
      <w:r>
        <w:rPr>
          <w:iCs w:val="0"/>
        </w:rPr>
        <w:t xml:space="preserve">Major headings should be set in 10-point bold, capitalized text as shown above and preceded by 2 blank lines except when starting a new </w:t>
      </w:r>
      <w:r w:rsidR="009F4744">
        <w:rPr>
          <w:iCs w:val="0"/>
        </w:rPr>
        <w:t>page</w:t>
      </w:r>
      <w:r>
        <w:rPr>
          <w:iCs w:val="0"/>
        </w:rPr>
        <w:t>.  Body paragraphs (like this one) should be set in acceptable style 10-point font, and fully justified (block style). Insert one blank line between paragraphs and between paragraphs and subheading.  Do not indent.</w:t>
      </w:r>
    </w:p>
    <w:p w:rsidR="003D2540" w:rsidRDefault="003D2540">
      <w:pPr>
        <w:pStyle w:val="BodyText2"/>
        <w:rPr>
          <w:iCs w:val="0"/>
        </w:rPr>
      </w:pPr>
    </w:p>
    <w:p w:rsidR="009F4744" w:rsidRDefault="003D2540" w:rsidP="009F4744">
      <w:pPr>
        <w:jc w:val="both"/>
      </w:pPr>
      <w:bookmarkStart w:id="0" w:name="OLE_LINK1"/>
      <w:r>
        <w:t>Please do not number your pages</w:t>
      </w:r>
      <w:r w:rsidR="000F49D9">
        <w:t xml:space="preserve"> as it is done automatically in the footer</w:t>
      </w:r>
      <w:r>
        <w:t>.</w:t>
      </w:r>
      <w:r w:rsidR="00856783">
        <w:t xml:space="preserve"> However, you should replace the “</w:t>
      </w:r>
      <w:proofErr w:type="spellStart"/>
      <w:r w:rsidR="00856783">
        <w:t>nnnn</w:t>
      </w:r>
      <w:proofErr w:type="spellEnd"/>
      <w:r w:rsidR="00856783">
        <w:t xml:space="preserve">” </w:t>
      </w:r>
      <w:r w:rsidR="00DB1049">
        <w:t xml:space="preserve">in the footer </w:t>
      </w:r>
      <w:r w:rsidR="00856783">
        <w:t>with your paper ID number.</w:t>
      </w:r>
      <w:r w:rsidR="009F4744">
        <w:t xml:space="preserve"> A running header that identifies the paper as being from I/ITSEC 2013 is included at top of each page.  Also, a footer including your paper number is displayed at the bottom of each page.  Please do not remove or change the position of the header/footer and do not add other information.  </w:t>
      </w:r>
    </w:p>
    <w:bookmarkEnd w:id="0"/>
    <w:p w:rsidR="003D2540" w:rsidRDefault="003D2540">
      <w:pPr>
        <w:jc w:val="both"/>
      </w:pPr>
    </w:p>
    <w:p w:rsidR="003D2540" w:rsidRDefault="003D2540">
      <w:pPr>
        <w:pStyle w:val="Heading2"/>
      </w:pPr>
      <w:r>
        <w:t>Subheading E</w:t>
      </w:r>
      <w:r w:rsidR="009F4744">
        <w:t>xample</w:t>
      </w:r>
    </w:p>
    <w:p w:rsidR="003D2540" w:rsidRDefault="003D2540">
      <w:pPr>
        <w:jc w:val="both"/>
      </w:pPr>
    </w:p>
    <w:p w:rsidR="003D2540" w:rsidRDefault="003D2540">
      <w:pPr>
        <w:jc w:val="both"/>
      </w:pPr>
      <w:r>
        <w:t xml:space="preserve">Subheading titles should be set in acceptable style 10-point font that is boldfaced and uses </w:t>
      </w:r>
      <w:r w:rsidRPr="009F4744">
        <w:rPr>
          <w:b/>
        </w:rPr>
        <w:t>initial capitals</w:t>
      </w:r>
      <w:r>
        <w:t>.</w:t>
      </w:r>
      <w:r w:rsidR="00CE614A">
        <w:t xml:space="preserve"> As mentioned above, insert one blank line between paragraphs and subheadings.</w:t>
      </w:r>
    </w:p>
    <w:p w:rsidR="003D2540" w:rsidRDefault="003D2540">
      <w:pPr>
        <w:jc w:val="both"/>
      </w:pPr>
    </w:p>
    <w:p w:rsidR="003D2540" w:rsidRDefault="00AE492D">
      <w:pPr>
        <w:jc w:val="both"/>
      </w:pPr>
      <w:r>
        <w:rPr>
          <w:noProof/>
        </w:rPr>
        <w:pict>
          <v:group id="Group 5" o:spid="_x0000_s1026" style="position:absolute;left:0;text-align:left;margin-left:241.8pt;margin-top:19.1pt;width:220.8pt;height:146.8pt;z-index:251659776" coordsize="28041,18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VDYjAAAAA2gAAAA8AAABkcnMvZG93bnJldi54bWxET02LwjAQvS/4H8IIXhZNdVWkGkUEwcMi&#10;WAXxNjRjW2wmpYna/nsjCJ6Gx/ucxaoxpXhQ7QrLCoaDCARxanXBmYLTcdufgXAeWWNpmRS05GC1&#10;7PwsMNb2yQd6JD4TIYRdjApy76tYSpfmZNANbEUcuKutDfoA60zqGp8h3JRyFEVTabDg0JBjRZuc&#10;0ltyNwou/9WI5cX87mfjTZvt13+Te3tWqtdt1nMQnhr/FX/cOx3mw/uV95X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ZUNiMAAAADaAAAADwAAAAAAAAAAAAAAAACfAgAA&#10;ZHJzL2Rvd25yZXYueG1sUEsFBgAAAAAEAAQA9wAAAIwDAAAAAA==&#10;">
              <v:imagedata r:id="rId13" o:title=""/>
              <v:path arrowok="t"/>
            </v:shape>
            <v:shapetype id="_x0000_t202" coordsize="21600,21600" o:spt="202" path="m,l,21600r21600,l21600,xe">
              <v:stroke joinstyle="miter"/>
              <v:path gradientshapeok="t" o:connecttype="rect"/>
            </v:shapetype>
            <v:shape id="Text Box 3" o:spid="_x0000_s1028" type="#_x0000_t202" style="position:absolute;left:914;top:15621;width:26994;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3D2A98" w:rsidRPr="003D2A98" w:rsidRDefault="003D2A98">
                    <w:pPr>
                      <w:rPr>
                        <w:b/>
                      </w:rPr>
                    </w:pPr>
                    <w:proofErr w:type="gramStart"/>
                    <w:r>
                      <w:rPr>
                        <w:b/>
                      </w:rPr>
                      <w:t>Figure 1.</w:t>
                    </w:r>
                    <w:proofErr w:type="gramEnd"/>
                    <w:r>
                      <w:rPr>
                        <w:b/>
                      </w:rPr>
                      <w:t xml:space="preserve"> Example of a Half Page Figure</w:t>
                    </w:r>
                  </w:p>
                </w:txbxContent>
              </v:textbox>
            </v:shape>
            <w10:wrap type="square"/>
          </v:group>
        </w:pict>
      </w:r>
      <w:r w:rsidR="003D2540">
        <w:t xml:space="preserve">Tables and figures should be embedded in the submitted paper and inserted in the body text as soon as possible after they are referenced (see Figure 1).  </w:t>
      </w:r>
    </w:p>
    <w:p w:rsidR="00D02740" w:rsidRDefault="00D02740">
      <w:pPr>
        <w:jc w:val="both"/>
      </w:pPr>
    </w:p>
    <w:p w:rsidR="00D02740" w:rsidRDefault="003D2A98" w:rsidP="006E6255">
      <w:pPr>
        <w:keepNext/>
        <w:jc w:val="both"/>
      </w:pPr>
      <w:r>
        <w:t xml:space="preserve">They may be sized to fit half the width of the page, or the full-page width. Captions should follow APA guidelines such that Figure captions are placed below the figure. In some cases, you may need to insert a text box and group the caption with the figure. If this approach is taken, you may also need to set the “text wrapping” properties to “square”. </w:t>
      </w:r>
      <w:r w:rsidR="00D02740">
        <w:t xml:space="preserve">                                                                                           </w:t>
      </w:r>
    </w:p>
    <w:p w:rsidR="003D2A98" w:rsidRDefault="003D2A98" w:rsidP="003D2A98">
      <w:pPr>
        <w:pStyle w:val="Caption"/>
        <w:spacing w:before="120"/>
        <w:ind w:left="4320" w:firstLine="720"/>
        <w:jc w:val="center"/>
        <w:rPr>
          <w:color w:val="000000" w:themeColor="text1"/>
        </w:rPr>
      </w:pPr>
    </w:p>
    <w:p w:rsidR="003D2A98" w:rsidRDefault="003D2A98" w:rsidP="003D2A98">
      <w:pPr>
        <w:pStyle w:val="Caption"/>
        <w:spacing w:before="120"/>
        <w:ind w:left="4320" w:firstLine="720"/>
        <w:jc w:val="center"/>
        <w:rPr>
          <w:color w:val="000000" w:themeColor="text1"/>
        </w:rPr>
      </w:pPr>
    </w:p>
    <w:p w:rsidR="003D2A98" w:rsidRDefault="003D2A98">
      <w:pPr>
        <w:jc w:val="both"/>
      </w:pPr>
    </w:p>
    <w:p w:rsidR="003D2540" w:rsidRDefault="003D2540">
      <w:pPr>
        <w:jc w:val="both"/>
      </w:pPr>
      <w:r>
        <w:t>Table captions (see Table 1) are placed above the Table.</w:t>
      </w:r>
    </w:p>
    <w:p w:rsidR="003D2540" w:rsidRDefault="003D2540">
      <w:pPr>
        <w:jc w:val="both"/>
      </w:pPr>
    </w:p>
    <w:p w:rsidR="003D2540" w:rsidRDefault="00F12494" w:rsidP="00F12494">
      <w:pPr>
        <w:pStyle w:val="TableCaption"/>
        <w:ind w:left="2160"/>
        <w:jc w:val="left"/>
      </w:pPr>
      <w:r>
        <w:t xml:space="preserve">          </w:t>
      </w:r>
      <w:proofErr w:type="gramStart"/>
      <w:r w:rsidR="003D2540">
        <w:t>Table 1.</w:t>
      </w:r>
      <w:proofErr w:type="gramEnd"/>
      <w:r w:rsidR="003D2540">
        <w:t xml:space="preserve">  Example of a Single Column Table</w:t>
      </w:r>
    </w:p>
    <w:p w:rsidR="003D2540" w:rsidRDefault="003D2540"/>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3D2540" w:rsidTr="00F12494">
        <w:trPr>
          <w:cantSplit/>
        </w:trPr>
        <w:tc>
          <w:tcPr>
            <w:tcW w:w="720" w:type="dxa"/>
            <w:vMerge w:val="restart"/>
          </w:tcPr>
          <w:p w:rsidR="003D2540" w:rsidRDefault="003D2540">
            <w:pPr>
              <w:pStyle w:val="Footer"/>
              <w:tabs>
                <w:tab w:val="clear" w:pos="4320"/>
                <w:tab w:val="clear" w:pos="8640"/>
              </w:tabs>
              <w:spacing w:before="40" w:after="40"/>
            </w:pPr>
          </w:p>
        </w:tc>
        <w:tc>
          <w:tcPr>
            <w:tcW w:w="3780" w:type="dxa"/>
            <w:gridSpan w:val="4"/>
          </w:tcPr>
          <w:p w:rsidR="003D2540" w:rsidRDefault="003D2540">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3D2540" w:rsidTr="00F12494">
        <w:trPr>
          <w:cantSplit/>
        </w:trPr>
        <w:tc>
          <w:tcPr>
            <w:tcW w:w="720" w:type="dxa"/>
            <w:vMerge/>
          </w:tcPr>
          <w:p w:rsidR="003D2540" w:rsidRDefault="003D2540">
            <w:pPr>
              <w:pStyle w:val="Footer"/>
              <w:tabs>
                <w:tab w:val="clear" w:pos="4320"/>
                <w:tab w:val="clear" w:pos="8640"/>
              </w:tabs>
              <w:spacing w:before="40" w:after="40"/>
            </w:pPr>
          </w:p>
        </w:tc>
        <w:tc>
          <w:tcPr>
            <w:tcW w:w="900" w:type="dxa"/>
          </w:tcPr>
          <w:p w:rsidR="003D2540" w:rsidRDefault="003D2540">
            <w:pPr>
              <w:pStyle w:val="Footer"/>
              <w:tabs>
                <w:tab w:val="clear" w:pos="4320"/>
                <w:tab w:val="clear" w:pos="8640"/>
              </w:tabs>
              <w:spacing w:before="40" w:after="40"/>
              <w:jc w:val="center"/>
              <w:rPr>
                <w:b/>
                <w:bCs/>
              </w:rPr>
            </w:pPr>
            <w:r>
              <w:rPr>
                <w:b/>
                <w:bCs/>
              </w:rPr>
              <w:t>Speed</w:t>
            </w:r>
          </w:p>
        </w:tc>
        <w:tc>
          <w:tcPr>
            <w:tcW w:w="990" w:type="dxa"/>
          </w:tcPr>
          <w:p w:rsidR="003D2540" w:rsidRDefault="003D2540">
            <w:pPr>
              <w:pStyle w:val="Footer"/>
              <w:tabs>
                <w:tab w:val="clear" w:pos="4320"/>
                <w:tab w:val="clear" w:pos="8640"/>
              </w:tabs>
              <w:spacing w:before="40" w:after="40"/>
              <w:jc w:val="center"/>
              <w:rPr>
                <w:b/>
                <w:bCs/>
              </w:rPr>
            </w:pPr>
            <w:r>
              <w:rPr>
                <w:b/>
                <w:bCs/>
              </w:rPr>
              <w:t>Heading</w:t>
            </w:r>
          </w:p>
        </w:tc>
        <w:tc>
          <w:tcPr>
            <w:tcW w:w="990" w:type="dxa"/>
          </w:tcPr>
          <w:p w:rsidR="003D2540" w:rsidRDefault="003D2540">
            <w:pPr>
              <w:pStyle w:val="Footer"/>
              <w:tabs>
                <w:tab w:val="clear" w:pos="4320"/>
                <w:tab w:val="clear" w:pos="8640"/>
              </w:tabs>
              <w:spacing w:before="40" w:after="40"/>
              <w:jc w:val="center"/>
              <w:rPr>
                <w:b/>
                <w:bCs/>
              </w:rPr>
            </w:pPr>
            <w:r>
              <w:rPr>
                <w:b/>
                <w:bCs/>
              </w:rPr>
              <w:t xml:space="preserve">Total       </w:t>
            </w:r>
          </w:p>
        </w:tc>
        <w:tc>
          <w:tcPr>
            <w:tcW w:w="900" w:type="dxa"/>
          </w:tcPr>
          <w:p w:rsidR="003D2540" w:rsidRDefault="003D2540">
            <w:pPr>
              <w:pStyle w:val="Footer"/>
              <w:tabs>
                <w:tab w:val="clear" w:pos="4320"/>
                <w:tab w:val="clear" w:pos="8640"/>
              </w:tabs>
              <w:spacing w:before="40" w:after="40"/>
              <w:jc w:val="center"/>
              <w:rPr>
                <w:b/>
                <w:bCs/>
              </w:rPr>
            </w:pPr>
            <w:r>
              <w:rPr>
                <w:b/>
                <w:bCs/>
              </w:rPr>
              <w:t>DR</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Min</w:t>
            </w:r>
          </w:p>
        </w:tc>
        <w:tc>
          <w:tcPr>
            <w:tcW w:w="900" w:type="dxa"/>
          </w:tcPr>
          <w:p w:rsidR="003D2540" w:rsidRDefault="003D2540">
            <w:pPr>
              <w:pStyle w:val="Footer"/>
              <w:tabs>
                <w:tab w:val="clear" w:pos="4320"/>
                <w:tab w:val="clear" w:pos="8640"/>
              </w:tabs>
              <w:spacing w:before="40" w:after="40"/>
              <w:jc w:val="right"/>
            </w:pPr>
            <w:r>
              <w:t>6.89029</w:t>
            </w:r>
          </w:p>
        </w:tc>
        <w:tc>
          <w:tcPr>
            <w:tcW w:w="990" w:type="dxa"/>
          </w:tcPr>
          <w:p w:rsidR="003D2540" w:rsidRDefault="003D2540">
            <w:pPr>
              <w:pStyle w:val="Footer"/>
              <w:tabs>
                <w:tab w:val="clear" w:pos="4320"/>
                <w:tab w:val="clear" w:pos="8640"/>
              </w:tabs>
              <w:spacing w:before="40" w:after="40"/>
              <w:jc w:val="right"/>
            </w:pPr>
            <w:r>
              <w:t>6.19888</w:t>
            </w:r>
          </w:p>
        </w:tc>
        <w:tc>
          <w:tcPr>
            <w:tcW w:w="990" w:type="dxa"/>
          </w:tcPr>
          <w:p w:rsidR="003D2540" w:rsidRDefault="003D2540">
            <w:pPr>
              <w:pStyle w:val="Footer"/>
              <w:tabs>
                <w:tab w:val="clear" w:pos="4320"/>
                <w:tab w:val="clear" w:pos="8640"/>
              </w:tabs>
              <w:spacing w:before="40" w:after="40"/>
              <w:jc w:val="right"/>
            </w:pPr>
            <w:r>
              <w:t>13.08981</w:t>
            </w:r>
          </w:p>
        </w:tc>
        <w:tc>
          <w:tcPr>
            <w:tcW w:w="900" w:type="dxa"/>
          </w:tcPr>
          <w:p w:rsidR="003D2540" w:rsidRDefault="003D2540">
            <w:pPr>
              <w:pStyle w:val="Footer"/>
              <w:tabs>
                <w:tab w:val="clear" w:pos="4320"/>
                <w:tab w:val="clear" w:pos="8640"/>
              </w:tabs>
              <w:spacing w:before="40" w:after="40"/>
              <w:jc w:val="right"/>
            </w:pPr>
            <w:r>
              <w:t>2.2888</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Mean</w:t>
            </w:r>
          </w:p>
        </w:tc>
        <w:tc>
          <w:tcPr>
            <w:tcW w:w="900" w:type="dxa"/>
          </w:tcPr>
          <w:p w:rsidR="003D2540" w:rsidRDefault="003D2540">
            <w:pPr>
              <w:pStyle w:val="Footer"/>
              <w:tabs>
                <w:tab w:val="clear" w:pos="4320"/>
                <w:tab w:val="clear" w:pos="8640"/>
              </w:tabs>
              <w:spacing w:before="40" w:after="40"/>
              <w:jc w:val="right"/>
            </w:pPr>
            <w:r>
              <w:t>7.77692</w:t>
            </w:r>
          </w:p>
        </w:tc>
        <w:tc>
          <w:tcPr>
            <w:tcW w:w="990" w:type="dxa"/>
          </w:tcPr>
          <w:p w:rsidR="003D2540" w:rsidRDefault="003D2540">
            <w:pPr>
              <w:pStyle w:val="Footer"/>
              <w:tabs>
                <w:tab w:val="clear" w:pos="4320"/>
                <w:tab w:val="clear" w:pos="8640"/>
              </w:tabs>
              <w:spacing w:before="40" w:after="40"/>
              <w:jc w:val="right"/>
            </w:pPr>
            <w:r>
              <w:t>7.47008</w:t>
            </w:r>
          </w:p>
        </w:tc>
        <w:tc>
          <w:tcPr>
            <w:tcW w:w="990" w:type="dxa"/>
          </w:tcPr>
          <w:p w:rsidR="003D2540" w:rsidRDefault="003D2540">
            <w:pPr>
              <w:pStyle w:val="Footer"/>
              <w:tabs>
                <w:tab w:val="clear" w:pos="4320"/>
                <w:tab w:val="clear" w:pos="8640"/>
              </w:tabs>
              <w:spacing w:before="40" w:after="40"/>
              <w:jc w:val="right"/>
            </w:pPr>
            <w:r>
              <w:t>15.24700</w:t>
            </w:r>
          </w:p>
        </w:tc>
        <w:tc>
          <w:tcPr>
            <w:tcW w:w="900" w:type="dxa"/>
          </w:tcPr>
          <w:p w:rsidR="003D2540" w:rsidRDefault="003D2540">
            <w:pPr>
              <w:pStyle w:val="Footer"/>
              <w:tabs>
                <w:tab w:val="clear" w:pos="4320"/>
                <w:tab w:val="clear" w:pos="8640"/>
              </w:tabs>
              <w:spacing w:before="40" w:after="40"/>
              <w:jc w:val="right"/>
            </w:pPr>
            <w:r>
              <w:t>2.7974</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Max</w:t>
            </w:r>
          </w:p>
        </w:tc>
        <w:tc>
          <w:tcPr>
            <w:tcW w:w="900" w:type="dxa"/>
          </w:tcPr>
          <w:p w:rsidR="003D2540" w:rsidRDefault="003D2540">
            <w:pPr>
              <w:pStyle w:val="Footer"/>
              <w:tabs>
                <w:tab w:val="clear" w:pos="4320"/>
                <w:tab w:val="clear" w:pos="8640"/>
              </w:tabs>
              <w:spacing w:before="40" w:after="40"/>
              <w:jc w:val="right"/>
            </w:pPr>
            <w:r>
              <w:t>20.5993</w:t>
            </w:r>
          </w:p>
        </w:tc>
        <w:tc>
          <w:tcPr>
            <w:tcW w:w="990" w:type="dxa"/>
          </w:tcPr>
          <w:p w:rsidR="003D2540" w:rsidRDefault="003D2540">
            <w:pPr>
              <w:pStyle w:val="Footer"/>
              <w:tabs>
                <w:tab w:val="clear" w:pos="4320"/>
                <w:tab w:val="clear" w:pos="8640"/>
              </w:tabs>
              <w:spacing w:before="40" w:after="40"/>
              <w:jc w:val="right"/>
            </w:pPr>
            <w:r>
              <w:t>29.7999</w:t>
            </w:r>
          </w:p>
        </w:tc>
        <w:tc>
          <w:tcPr>
            <w:tcW w:w="990" w:type="dxa"/>
          </w:tcPr>
          <w:p w:rsidR="003D2540" w:rsidRDefault="003D2540">
            <w:pPr>
              <w:pStyle w:val="Footer"/>
              <w:tabs>
                <w:tab w:val="clear" w:pos="4320"/>
                <w:tab w:val="clear" w:pos="8640"/>
              </w:tabs>
              <w:spacing w:before="40" w:after="40"/>
              <w:jc w:val="right"/>
            </w:pPr>
            <w:r>
              <w:t>50.3992</w:t>
            </w:r>
          </w:p>
        </w:tc>
        <w:tc>
          <w:tcPr>
            <w:tcW w:w="900" w:type="dxa"/>
          </w:tcPr>
          <w:p w:rsidR="003D2540" w:rsidRDefault="003D2540">
            <w:pPr>
              <w:pStyle w:val="Footer"/>
              <w:tabs>
                <w:tab w:val="clear" w:pos="4320"/>
                <w:tab w:val="clear" w:pos="8640"/>
              </w:tabs>
              <w:spacing w:before="40" w:after="40"/>
              <w:jc w:val="right"/>
            </w:pPr>
            <w:r>
              <w:t>6.35981</w:t>
            </w:r>
          </w:p>
        </w:tc>
      </w:tr>
    </w:tbl>
    <w:p w:rsidR="009F4744" w:rsidRDefault="009F4744" w:rsidP="001925A8">
      <w:pPr>
        <w:rPr>
          <w:iCs/>
        </w:rPr>
      </w:pPr>
      <w:r>
        <w:rPr>
          <w:noProof/>
        </w:rPr>
        <w:lastRenderedPageBreak/>
        <w:drawing>
          <wp:anchor distT="0" distB="0" distL="114300" distR="114300" simplePos="0" relativeHeight="251661824"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2581910"/>
                    </a:xfrm>
                    <a:prstGeom prst="rect">
                      <a:avLst/>
                    </a:prstGeom>
                    <a:noFill/>
                    <a:ln>
                      <a:noFill/>
                    </a:ln>
                  </pic:spPr>
                </pic:pic>
              </a:graphicData>
            </a:graphic>
          </wp:anchor>
        </w:drawing>
      </w:r>
      <w:r w:rsidR="006E6255">
        <w:rPr>
          <w:noProof/>
        </w:rPr>
        <w:t>A</w:t>
      </w:r>
      <w:r w:rsidR="006E6255">
        <w:t xml:space="preserve"> s</w:t>
      </w:r>
      <w:r>
        <w:t xml:space="preserve">ample of a figure spanning the entire width of the page may be seen in Figure 2.  Color graphics may be used. </w:t>
      </w:r>
    </w:p>
    <w:p w:rsidR="009F4744" w:rsidRDefault="009F4744" w:rsidP="009F4744">
      <w:pPr>
        <w:pStyle w:val="FigureCaption"/>
      </w:pPr>
      <w:proofErr w:type="gramStart"/>
      <w:r>
        <w:t>Figure 2.</w:t>
      </w:r>
      <w:proofErr w:type="gramEnd"/>
      <w:r>
        <w:t xml:space="preserve">  Example of Figure </w:t>
      </w:r>
      <w:r w:rsidR="00065002">
        <w:t>Caption</w:t>
      </w:r>
    </w:p>
    <w:p w:rsidR="006E6255" w:rsidRDefault="006E6255">
      <w:pPr>
        <w:pStyle w:val="BodyText2"/>
      </w:pPr>
    </w:p>
    <w:p w:rsidR="00F12494" w:rsidRDefault="003D2540" w:rsidP="001925A8">
      <w:pPr>
        <w:rPr>
          <w:iCs/>
        </w:rPr>
      </w:pPr>
      <w:r>
        <w:t>Equations should be numbered and centered.  A slightly smaller font may be used for equations, subscripts, and superscripts.  Use Symbol or Lucida for mathematics as shown in equation 1.</w:t>
      </w:r>
    </w:p>
    <w:p w:rsidR="003D2540" w:rsidRDefault="003D2540">
      <w:pPr>
        <w:jc w:val="both"/>
      </w:pPr>
    </w:p>
    <w:tbl>
      <w:tblPr>
        <w:tblW w:w="0" w:type="auto"/>
        <w:jc w:val="center"/>
        <w:tblInd w:w="108" w:type="dxa"/>
        <w:tblLayout w:type="fixed"/>
        <w:tblLook w:val="0000"/>
      </w:tblPr>
      <w:tblGrid>
        <w:gridCol w:w="4039"/>
        <w:gridCol w:w="533"/>
      </w:tblGrid>
      <w:tr w:rsidR="003D2540" w:rsidTr="00F12494">
        <w:trPr>
          <w:trHeight w:val="522"/>
          <w:jc w:val="center"/>
        </w:trPr>
        <w:tc>
          <w:tcPr>
            <w:tcW w:w="4039" w:type="dxa"/>
          </w:tcPr>
          <w:p w:rsidR="003D2540" w:rsidRDefault="003D2540">
            <w:pPr>
              <w:pStyle w:val="BodyText"/>
              <w:jc w:val="center"/>
            </w:pPr>
            <w:r w:rsidRPr="00CC5072">
              <w:rPr>
                <w:noProof/>
                <w:position w:val="-28"/>
              </w:rPr>
              <w:object w:dxaOrig="3360" w:dyaOrig="680">
                <v:shape id="_x0000_i1025" type="#_x0000_t75" style="width:168.2pt;height:34pt" o:ole="" fillcolor="window">
                  <v:imagedata r:id="rId15" o:title=""/>
                </v:shape>
                <o:OLEObject Type="Embed" ProgID="Equation.3" ShapeID="_x0000_i1025" DrawAspect="Content" ObjectID="_1481459474" r:id="rId16"/>
              </w:object>
            </w:r>
          </w:p>
        </w:tc>
        <w:tc>
          <w:tcPr>
            <w:tcW w:w="533" w:type="dxa"/>
          </w:tcPr>
          <w:p w:rsidR="003D2540" w:rsidRDefault="003D2540">
            <w:pPr>
              <w:pStyle w:val="BodyText"/>
              <w:jc w:val="right"/>
            </w:pPr>
          </w:p>
          <w:p w:rsidR="003D2540" w:rsidRDefault="003D2540">
            <w:pPr>
              <w:pStyle w:val="BodyText"/>
              <w:jc w:val="right"/>
              <w:rPr>
                <w:b w:val="0"/>
                <w:bCs/>
                <w:color w:val="auto"/>
              </w:rPr>
            </w:pPr>
            <w:r>
              <w:rPr>
                <w:b w:val="0"/>
                <w:bCs/>
                <w:color w:val="auto"/>
              </w:rPr>
              <w:t>(1)</w:t>
            </w:r>
          </w:p>
        </w:tc>
      </w:tr>
    </w:tbl>
    <w:p w:rsidR="009F4744" w:rsidRDefault="009F4744">
      <w:pPr>
        <w:pStyle w:val="Heading2"/>
      </w:pPr>
    </w:p>
    <w:p w:rsidR="003D2540" w:rsidRDefault="003D2540">
      <w:pPr>
        <w:pStyle w:val="Heading3"/>
      </w:pPr>
      <w:r>
        <w:t>Sub-subheading Example</w:t>
      </w:r>
    </w:p>
    <w:p w:rsidR="003D2540" w:rsidRDefault="003D2540">
      <w:pPr>
        <w:jc w:val="both"/>
      </w:pPr>
      <w:r>
        <w:t>Sub-subheading titles should be set in acceptable style 10-point font that is boldfaced and uses initial capitals.  The sub-subheadings are included in the body text and not separated by a blank line.</w:t>
      </w:r>
    </w:p>
    <w:p w:rsidR="003D2540" w:rsidRDefault="003D2540">
      <w:pPr>
        <w:jc w:val="both"/>
      </w:pPr>
    </w:p>
    <w:p w:rsidR="00065002" w:rsidRDefault="00065002">
      <w:pPr>
        <w:jc w:val="both"/>
      </w:pPr>
    </w:p>
    <w:p w:rsidR="003D2540" w:rsidRDefault="003D2540" w:rsidP="00F12494">
      <w:pPr>
        <w:pStyle w:val="Heading1"/>
        <w:jc w:val="left"/>
      </w:pPr>
      <w:r>
        <w:t>ACKNOWLEDGEMENTS</w:t>
      </w:r>
    </w:p>
    <w:p w:rsidR="003D2540" w:rsidRDefault="003D2540">
      <w:pPr>
        <w:jc w:val="both"/>
      </w:pPr>
    </w:p>
    <w:p w:rsidR="003D2540" w:rsidRDefault="003D2540" w:rsidP="006E6255">
      <w:pPr>
        <w:jc w:val="both"/>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65002">
      <w:pPr>
        <w:pStyle w:val="Heading1"/>
        <w:jc w:val="left"/>
      </w:pPr>
    </w:p>
    <w:p w:rsidR="00065002" w:rsidRPr="00065002" w:rsidRDefault="00065002" w:rsidP="00065002"/>
    <w:p w:rsidR="003D2540" w:rsidRDefault="003D2540" w:rsidP="00F12494">
      <w:pPr>
        <w:pStyle w:val="Heading1"/>
        <w:jc w:val="left"/>
      </w:pPr>
      <w:r>
        <w:t xml:space="preserve">REFERENCES </w:t>
      </w:r>
    </w:p>
    <w:p w:rsidR="00F12494" w:rsidRDefault="00F12494" w:rsidP="00F12494">
      <w:pPr>
        <w:jc w:val="both"/>
      </w:pPr>
    </w:p>
    <w:p w:rsidR="00D03D9A" w:rsidRDefault="00D03D9A" w:rsidP="00D03D9A">
      <w:pPr>
        <w:spacing w:after="120"/>
        <w:ind w:left="547" w:hanging="547"/>
        <w:jc w:val="both"/>
      </w:pPr>
      <w:r>
        <w:t xml:space="preserve">Anthony, K. D., (2006), </w:t>
      </w:r>
      <w:r w:rsidRPr="00D03D9A">
        <w:rPr>
          <w:i/>
        </w:rPr>
        <w:t>Introduction to causal modeling, Bayesian theory and major Bayesian modeling tools for the intelligence analys</w:t>
      </w:r>
      <w:r>
        <w:t>t, USAF National Air and Space Intelligence Center (NASIC), Wright-Paterson Air Force Base, Ohio.</w:t>
      </w:r>
    </w:p>
    <w:p w:rsidR="00D03D9A" w:rsidRDefault="00D03D9A" w:rsidP="00D03D9A">
      <w:pPr>
        <w:spacing w:after="120"/>
        <w:ind w:left="547" w:hanging="547"/>
        <w:jc w:val="both"/>
      </w:pPr>
      <w:r>
        <w:t xml:space="preserve">Ariely, D., (2008), </w:t>
      </w:r>
      <w:proofErr w:type="gramStart"/>
      <w:r w:rsidRPr="00D03D9A">
        <w:rPr>
          <w:i/>
        </w:rPr>
        <w:t>Predictably</w:t>
      </w:r>
      <w:proofErr w:type="gramEnd"/>
      <w:r w:rsidRPr="00D03D9A">
        <w:rPr>
          <w:i/>
        </w:rPr>
        <w:t xml:space="preserve"> Irrational: The hidden forces that shape our decisions</w:t>
      </w:r>
      <w:r>
        <w:t>, New York: Harper Perennial</w:t>
      </w:r>
    </w:p>
    <w:p w:rsidR="00D03D9A" w:rsidRDefault="00D03D9A" w:rsidP="00D03D9A">
      <w:pPr>
        <w:spacing w:after="120"/>
        <w:ind w:left="547" w:hanging="547"/>
        <w:jc w:val="both"/>
      </w:pPr>
      <w:r>
        <w:t xml:space="preserve">Ariely, D., (2011), </w:t>
      </w:r>
      <w:proofErr w:type="gramStart"/>
      <w:r w:rsidRPr="00D03D9A">
        <w:rPr>
          <w:i/>
        </w:rPr>
        <w:t>The</w:t>
      </w:r>
      <w:proofErr w:type="gramEnd"/>
      <w:r w:rsidRPr="00D03D9A">
        <w:rPr>
          <w:i/>
        </w:rPr>
        <w:t xml:space="preserve"> Upside of Irrationality: The Unexpected Benefits of Defying Logic</w:t>
      </w:r>
      <w:r>
        <w:t xml:space="preserve">, New York: </w:t>
      </w:r>
      <w:proofErr w:type="spellStart"/>
      <w:r>
        <w:t>Har</w:t>
      </w:r>
      <w:proofErr w:type="spellEnd"/>
      <w:r>
        <w:t>-per Perennial</w:t>
      </w:r>
    </w:p>
    <w:p w:rsidR="00D03D9A" w:rsidRDefault="00D03D9A" w:rsidP="00D03D9A">
      <w:pPr>
        <w:spacing w:after="120"/>
        <w:ind w:left="547" w:hanging="547"/>
        <w:jc w:val="both"/>
      </w:pPr>
      <w:r>
        <w:t xml:space="preserve">Brooks, P.S., (2006), </w:t>
      </w:r>
      <w:r w:rsidRPr="00D03D9A">
        <w:rPr>
          <w:i/>
        </w:rPr>
        <w:t>PAINT Program BAA, ProActive INTelliegence</w:t>
      </w:r>
      <w:r>
        <w:t>, U.S Air Force Research Laboratory Broad Agency Announcement, BAA-07-01-IFKA, Rome, New York</w:t>
      </w:r>
    </w:p>
    <w:p w:rsidR="00D03D9A" w:rsidRDefault="00D03D9A" w:rsidP="00D03D9A">
      <w:pPr>
        <w:spacing w:after="120"/>
        <w:ind w:left="547" w:hanging="547"/>
        <w:jc w:val="both"/>
      </w:pPr>
      <w:r>
        <w:t xml:space="preserve">Cyclocane.com, (2014), </w:t>
      </w:r>
      <w:r w:rsidRPr="00D03D9A">
        <w:rPr>
          <w:i/>
        </w:rPr>
        <w:t>Spaghetti Models from NCAR, Tropical Storm Daniel Track and Intensity</w:t>
      </w:r>
      <w:r>
        <w:t>, re-</w:t>
      </w:r>
      <w:proofErr w:type="spellStart"/>
      <w:r>
        <w:t>trieved</w:t>
      </w:r>
      <w:proofErr w:type="spellEnd"/>
      <w:r>
        <w:t xml:space="preserve"> from internet on 17 December 2014, from http://www.cyclocane.com/daniel-spaghetti-models</w:t>
      </w:r>
      <w:proofErr w:type="gramStart"/>
      <w:r>
        <w:t>/ .</w:t>
      </w:r>
      <w:proofErr w:type="gramEnd"/>
    </w:p>
    <w:p w:rsidR="00D03D9A" w:rsidRDefault="00D03D9A" w:rsidP="00D03D9A">
      <w:pPr>
        <w:spacing w:after="120"/>
        <w:ind w:left="547" w:hanging="547"/>
        <w:jc w:val="both"/>
      </w:pPr>
      <w:r>
        <w:lastRenderedPageBreak/>
        <w:t xml:space="preserve">Davis, D., Yao, K-T., Lucas, R., Wagenbreth, G. &amp; Gottschalk, T., (2005),"Enabling 1,000,000-Entity Simulations on Distributed Linux Clusters," </w:t>
      </w:r>
      <w:r w:rsidRPr="00D03D9A">
        <w:rPr>
          <w:i/>
        </w:rPr>
        <w:t>WSC05-The Winter Simulation Conference</w:t>
      </w:r>
      <w:r>
        <w:t>, Orlando, Florida</w:t>
      </w:r>
    </w:p>
    <w:p w:rsidR="00D03D9A" w:rsidRDefault="00D03D9A" w:rsidP="00D03D9A">
      <w:pPr>
        <w:spacing w:after="120"/>
        <w:ind w:left="547" w:hanging="547"/>
        <w:jc w:val="both"/>
      </w:pPr>
      <w:r>
        <w:t xml:space="preserve">Davis, D. M., Lucas, R. F., Wagenbreth, G., Roberts, D. W. &amp; Brewton, C., (2010), “The Future Uses for the GPGPU-Enhanced Cluster at JFCOM”, in the Proceedings of the </w:t>
      </w:r>
      <w:r w:rsidRPr="00D03D9A">
        <w:rPr>
          <w:i/>
        </w:rPr>
        <w:t>HPCMP Users Group Conference</w:t>
      </w:r>
      <w:r>
        <w:t>, Schaumburg, Illinois</w:t>
      </w:r>
    </w:p>
    <w:p w:rsidR="00D03D9A" w:rsidRDefault="00D03D9A" w:rsidP="00D03D9A">
      <w:pPr>
        <w:spacing w:after="120"/>
        <w:ind w:left="547" w:hanging="547"/>
        <w:jc w:val="both"/>
      </w:pPr>
      <w:r>
        <w:t xml:space="preserve">D-Day Museum, (2014), </w:t>
      </w:r>
      <w:r w:rsidRPr="00D03D9A">
        <w:rPr>
          <w:i/>
        </w:rPr>
        <w:t>Allied and German Casualties on D-Day</w:t>
      </w:r>
      <w:r>
        <w:t xml:space="preserve">, retrieved from internet, 18 December 2014, from </w:t>
      </w:r>
      <w:r w:rsidRPr="00D03D9A">
        <w:t>http://www.ddaymuseum.co.uk/d-day/d-day-and-the-battle-of-normandy-your-questions-</w:t>
      </w:r>
      <w:proofErr w:type="gramStart"/>
      <w:r w:rsidRPr="00D03D9A">
        <w:t>answered</w:t>
      </w:r>
      <w:r>
        <w:t xml:space="preserve"> .</w:t>
      </w:r>
      <w:proofErr w:type="gramEnd"/>
    </w:p>
    <w:p w:rsidR="00D03D9A" w:rsidRDefault="00D03D9A" w:rsidP="00D03D9A">
      <w:pPr>
        <w:spacing w:after="120"/>
        <w:ind w:left="547" w:hanging="547"/>
        <w:jc w:val="both"/>
      </w:pPr>
      <w:proofErr w:type="spellStart"/>
      <w:r>
        <w:t>Doleisch</w:t>
      </w:r>
      <w:proofErr w:type="spellEnd"/>
      <w:r>
        <w:t xml:space="preserve">, H., Gasser, M., &amp;  Hauser H., (2003), Inter-active feature specification forcus+context visualization of complex simulation data, In Proceedings of the </w:t>
      </w:r>
      <w:r w:rsidRPr="00D03D9A">
        <w:rPr>
          <w:i/>
        </w:rPr>
        <w:t>5th Joint IEEE TCVG - EUROGRAPHICS Symposium on Visualization (Vis-Sym 2003)</w:t>
      </w:r>
      <w:r>
        <w:t>, ACM Press, 2003</w:t>
      </w:r>
    </w:p>
    <w:p w:rsidR="00D03D9A" w:rsidRDefault="00D03D9A" w:rsidP="00D03D9A">
      <w:pPr>
        <w:spacing w:after="120"/>
        <w:ind w:left="547" w:hanging="547"/>
        <w:jc w:val="both"/>
      </w:pPr>
      <w:r>
        <w:t>Feynman, R., (1982), "Simulating Physics with Computers",</w:t>
      </w:r>
      <w:r w:rsidRPr="00D03D9A">
        <w:rPr>
          <w:i/>
        </w:rPr>
        <w:t xml:space="preserve"> International Journal of Theoretical Physics 21 (6–7)</w:t>
      </w:r>
      <w:r>
        <w:t>: 467–488.</w:t>
      </w:r>
    </w:p>
    <w:p w:rsidR="00D03D9A" w:rsidRDefault="00D03D9A" w:rsidP="00D03D9A">
      <w:pPr>
        <w:spacing w:after="120"/>
        <w:ind w:left="547" w:hanging="547"/>
        <w:jc w:val="both"/>
      </w:pPr>
      <w:r>
        <w:t xml:space="preserve">Fleming, N., (2012), </w:t>
      </w:r>
      <w:r w:rsidRPr="00D03D9A">
        <w:rPr>
          <w:i/>
        </w:rPr>
        <w:t>Introduction to VARK</w:t>
      </w:r>
      <w:r>
        <w:t>, Retrieved on 16 September 2014, from http://legacy.hazard.kctcs.edu/VARK/</w:t>
      </w:r>
      <w:proofErr w:type="gramStart"/>
      <w:r>
        <w:t>introduction.htm .</w:t>
      </w:r>
      <w:proofErr w:type="gramEnd"/>
    </w:p>
    <w:p w:rsidR="00D03D9A" w:rsidRDefault="00D03D9A" w:rsidP="00D03D9A">
      <w:pPr>
        <w:spacing w:after="120"/>
        <w:ind w:left="547" w:hanging="547"/>
        <w:jc w:val="both"/>
      </w:pPr>
      <w:r>
        <w:t xml:space="preserve">Fogel, D., (1995), </w:t>
      </w:r>
      <w:r w:rsidRPr="00D03D9A">
        <w:rPr>
          <w:i/>
        </w:rPr>
        <w:t>Evolutionary Computation</w:t>
      </w:r>
      <w:r>
        <w:t>, New York: IEEE Press.</w:t>
      </w:r>
    </w:p>
    <w:p w:rsidR="00D03D9A" w:rsidRDefault="00D03D9A" w:rsidP="00D03D9A">
      <w:pPr>
        <w:spacing w:after="120"/>
        <w:ind w:left="547" w:hanging="547"/>
        <w:jc w:val="both"/>
      </w:pPr>
      <w:r>
        <w:t xml:space="preserve">Gladwell, M., (2008), </w:t>
      </w:r>
      <w:r w:rsidRPr="00047D2E">
        <w:rPr>
          <w:i/>
        </w:rPr>
        <w:t>Outliers: The story of success</w:t>
      </w:r>
      <w:r>
        <w:t>, New York: Little, Brown and Co.</w:t>
      </w:r>
    </w:p>
    <w:p w:rsidR="00D03D9A" w:rsidRDefault="00D03D9A" w:rsidP="00D03D9A">
      <w:pPr>
        <w:spacing w:after="120"/>
        <w:ind w:left="547" w:hanging="547"/>
        <w:jc w:val="both"/>
      </w:pPr>
      <w:r>
        <w:t xml:space="preserve">Glick, T.F., (1979), </w:t>
      </w:r>
      <w:r w:rsidRPr="00D03D9A">
        <w:rPr>
          <w:i/>
        </w:rPr>
        <w:t xml:space="preserve">Islamic and Christian Spain in the Early </w:t>
      </w:r>
      <w:proofErr w:type="gramStart"/>
      <w:r w:rsidRPr="00D03D9A">
        <w:rPr>
          <w:i/>
        </w:rPr>
        <w:t>Middle</w:t>
      </w:r>
      <w:proofErr w:type="gramEnd"/>
      <w:r w:rsidRPr="00D03D9A">
        <w:rPr>
          <w:i/>
        </w:rPr>
        <w:t xml:space="preserve"> Ages: Comparative Perspectives on So-</w:t>
      </w:r>
      <w:proofErr w:type="spellStart"/>
      <w:r w:rsidRPr="00D03D9A">
        <w:rPr>
          <w:i/>
        </w:rPr>
        <w:t>cial</w:t>
      </w:r>
      <w:proofErr w:type="spellEnd"/>
      <w:r w:rsidRPr="00D03D9A">
        <w:rPr>
          <w:i/>
        </w:rPr>
        <w:t xml:space="preserve"> and Cultural Formation</w:t>
      </w:r>
      <w:r>
        <w:t>; Princeton University Press, Princeton</w:t>
      </w:r>
    </w:p>
    <w:p w:rsidR="00D03D9A" w:rsidRDefault="00D03D9A" w:rsidP="00D03D9A">
      <w:pPr>
        <w:spacing w:after="120"/>
        <w:ind w:left="547" w:hanging="547"/>
        <w:jc w:val="both"/>
      </w:pPr>
      <w:r>
        <w:t xml:space="preserve">Graebener , R. J., Rafuse , G., Miller, R. &amp; Yao, K.- T., (2003), The Road to Successful Joint Experimentation Starts at the Data Collection Trail, in the </w:t>
      </w:r>
      <w:r w:rsidRPr="00D03D9A">
        <w:rPr>
          <w:i/>
        </w:rPr>
        <w:t>Proceedings of the Interservice/Industry Simulation, Training and Education Conference</w:t>
      </w:r>
      <w:r>
        <w:t xml:space="preserve">, Orlando, Florida, 2003 </w:t>
      </w:r>
    </w:p>
    <w:p w:rsidR="00D03D9A" w:rsidRDefault="00D03D9A" w:rsidP="00D03D9A">
      <w:pPr>
        <w:spacing w:after="120"/>
        <w:ind w:left="547" w:hanging="547"/>
        <w:jc w:val="both"/>
      </w:pPr>
      <w:r>
        <w:t xml:space="preserve">Grant, U. S., (1885), </w:t>
      </w:r>
      <w:r w:rsidRPr="00D03D9A">
        <w:rPr>
          <w:i/>
        </w:rPr>
        <w:t>Personal Memoirs</w:t>
      </w:r>
      <w:r>
        <w:t>, New York: C.L. Webster, 1885–86</w:t>
      </w:r>
    </w:p>
    <w:p w:rsidR="00D03D9A" w:rsidRDefault="00D03D9A" w:rsidP="00D03D9A">
      <w:pPr>
        <w:spacing w:after="120"/>
        <w:ind w:left="547" w:hanging="547"/>
        <w:jc w:val="both"/>
      </w:pPr>
      <w:r>
        <w:t xml:space="preserve">Greenland, S. &amp; </w:t>
      </w:r>
      <w:proofErr w:type="spellStart"/>
      <w:r>
        <w:t>Brumback</w:t>
      </w:r>
      <w:proofErr w:type="spellEnd"/>
      <w:r>
        <w:t xml:space="preserve">, B., (2002), </w:t>
      </w:r>
      <w:proofErr w:type="gramStart"/>
      <w:r>
        <w:t>An</w:t>
      </w:r>
      <w:proofErr w:type="gramEnd"/>
      <w:r>
        <w:t xml:space="preserve"> overview of relations among causal modeling methods, </w:t>
      </w:r>
      <w:r w:rsidRPr="00D03D9A">
        <w:rPr>
          <w:i/>
        </w:rPr>
        <w:t>International Journal of Epidemiology</w:t>
      </w:r>
      <w:r>
        <w:t>, 2002; 31(5):1030-1037.</w:t>
      </w:r>
    </w:p>
    <w:p w:rsidR="00D03D9A" w:rsidRDefault="00D03D9A" w:rsidP="00D03D9A">
      <w:pPr>
        <w:spacing w:after="120"/>
        <w:ind w:left="547" w:hanging="547"/>
        <w:jc w:val="both"/>
      </w:pPr>
      <w:r>
        <w:t xml:space="preserve">Gottschalk, T. D., Yao, K-T., Wagenbreth, G. &amp; Davis, D. M., (2010), Distributed and Interactive Simulations Operating at Large Scale for Transcontinental Experimentation, in the Proceedings of the </w:t>
      </w:r>
      <w:r w:rsidRPr="00D03D9A">
        <w:rPr>
          <w:i/>
        </w:rPr>
        <w:t>IEEE/ACM Distributed Simulations and Real Time Applications 2010 Conference</w:t>
      </w:r>
      <w:r>
        <w:t>, Fairfax, Virginia</w:t>
      </w:r>
    </w:p>
    <w:p w:rsidR="00D03D9A" w:rsidRDefault="00D03D9A" w:rsidP="00D03D9A">
      <w:pPr>
        <w:spacing w:after="120"/>
        <w:ind w:left="547" w:hanging="547"/>
        <w:jc w:val="both"/>
      </w:pPr>
      <w:r>
        <w:t xml:space="preserve">Harvey, O. J., White, B. J., Hood, W. R., &amp; </w:t>
      </w:r>
      <w:proofErr w:type="spellStart"/>
      <w:r>
        <w:t>Sherif</w:t>
      </w:r>
      <w:proofErr w:type="spellEnd"/>
      <w:r>
        <w:t>, C. W., (1961)</w:t>
      </w:r>
      <w:r w:rsidRPr="00D03D9A">
        <w:rPr>
          <w:i/>
        </w:rPr>
        <w:t xml:space="preserve">, </w:t>
      </w:r>
      <w:proofErr w:type="gramStart"/>
      <w:r w:rsidRPr="00D03D9A">
        <w:rPr>
          <w:i/>
        </w:rPr>
        <w:t>Intergroup</w:t>
      </w:r>
      <w:proofErr w:type="gramEnd"/>
      <w:r w:rsidRPr="00D03D9A">
        <w:rPr>
          <w:i/>
        </w:rPr>
        <w:t xml:space="preserve"> conflict and cooperation: The Robbers Cave experiment (Vol. 10)</w:t>
      </w:r>
      <w:r>
        <w:t>. Norman, OK: University Book Exchange.</w:t>
      </w:r>
    </w:p>
    <w:p w:rsidR="00D03D9A" w:rsidRDefault="00D03D9A" w:rsidP="00D03D9A">
      <w:pPr>
        <w:spacing w:after="120"/>
        <w:ind w:left="547" w:hanging="547"/>
        <w:jc w:val="both"/>
      </w:pPr>
      <w:proofErr w:type="spellStart"/>
      <w:proofErr w:type="gramStart"/>
      <w:r>
        <w:t>Kadlec</w:t>
      </w:r>
      <w:proofErr w:type="spellEnd"/>
      <w:r>
        <w:t xml:space="preserve">, B. J., (2009), Interactive GPU-based </w:t>
      </w:r>
      <w:r w:rsidRPr="00D03D9A">
        <w:rPr>
          <w:i/>
        </w:rPr>
        <w:t>Visulation” and Structure Analysis of 3-D Implicit Surfaces for Seismic Interpretation</w:t>
      </w:r>
      <w:r>
        <w:t xml:space="preserve"> (Doctoral Dissertation), University of Colorado, Boulder Colorado.</w:t>
      </w:r>
      <w:proofErr w:type="gramEnd"/>
    </w:p>
    <w:p w:rsidR="00D03D9A" w:rsidRDefault="00D03D9A" w:rsidP="00D03D9A">
      <w:pPr>
        <w:spacing w:after="120"/>
        <w:ind w:left="547" w:hanging="547"/>
        <w:jc w:val="both"/>
      </w:pPr>
      <w:r>
        <w:t xml:space="preserve">Kahneman, D., (2011), </w:t>
      </w:r>
      <w:proofErr w:type="gramStart"/>
      <w:r>
        <w:t>Thinking</w:t>
      </w:r>
      <w:proofErr w:type="gramEnd"/>
      <w:r>
        <w:t>, fast and slow, New York: Farrar, Straus and Giroux</w:t>
      </w:r>
    </w:p>
    <w:p w:rsidR="00D03D9A" w:rsidRDefault="00D03D9A" w:rsidP="00D03D9A">
      <w:pPr>
        <w:spacing w:after="120"/>
        <w:ind w:left="547" w:hanging="547"/>
        <w:jc w:val="both"/>
      </w:pPr>
      <w:r>
        <w:t xml:space="preserve">Keegan, J., (2988), </w:t>
      </w:r>
      <w:proofErr w:type="gramStart"/>
      <w:r w:rsidRPr="00D03D9A">
        <w:rPr>
          <w:i/>
        </w:rPr>
        <w:t>The</w:t>
      </w:r>
      <w:proofErr w:type="gramEnd"/>
      <w:r w:rsidRPr="00D03D9A">
        <w:rPr>
          <w:i/>
        </w:rPr>
        <w:t xml:space="preserve"> Mask of Command</w:t>
      </w:r>
      <w:r>
        <w:t>, New York: Viking Press</w:t>
      </w:r>
    </w:p>
    <w:p w:rsidR="00D03D9A" w:rsidRDefault="00D03D9A" w:rsidP="00D03D9A">
      <w:pPr>
        <w:spacing w:after="120"/>
        <w:ind w:left="547" w:hanging="547"/>
        <w:jc w:val="both"/>
      </w:pPr>
      <w:r>
        <w:t xml:space="preserve">Kraus-Maffei Wegmann (KMW), </w:t>
      </w:r>
      <w:r w:rsidRPr="00D03D9A">
        <w:rPr>
          <w:i/>
        </w:rPr>
        <w:t>Turret Trainer</w:t>
      </w:r>
      <w:r>
        <w:t xml:space="preserve">, retrieved from internet on 26 December 2014, from: http://www.kmweg.com/home/training-simulation/gunnery-and-combat-training/turret-trainer/product-information.html </w:t>
      </w:r>
    </w:p>
    <w:p w:rsidR="00D03D9A" w:rsidRDefault="00D03D9A" w:rsidP="00D03D9A">
      <w:pPr>
        <w:spacing w:after="120"/>
        <w:ind w:left="547" w:hanging="547"/>
        <w:jc w:val="both"/>
      </w:pPr>
      <w:proofErr w:type="spellStart"/>
      <w:r>
        <w:t>Lefohn</w:t>
      </w:r>
      <w:proofErr w:type="spellEnd"/>
      <w:r>
        <w:t xml:space="preserve">, A., (2004), GPGPU: General Purpose Computation on Graphics Processors. </w:t>
      </w:r>
      <w:proofErr w:type="gramStart"/>
      <w:r>
        <w:t xml:space="preserve">In </w:t>
      </w:r>
      <w:r w:rsidRPr="00D03D9A">
        <w:rPr>
          <w:i/>
        </w:rPr>
        <w:t>IEEE Visualization 2004 Tutorials</w:t>
      </w:r>
      <w:r>
        <w:t>, Austin, Texas, October 10, 2004, IEEE Computer Society.</w:t>
      </w:r>
      <w:proofErr w:type="gramEnd"/>
      <w:r>
        <w:t xml:space="preserve"> </w:t>
      </w:r>
    </w:p>
    <w:p w:rsidR="00D03D9A" w:rsidRDefault="00D03D9A" w:rsidP="00D03D9A">
      <w:pPr>
        <w:spacing w:after="120"/>
        <w:ind w:left="547" w:hanging="547"/>
        <w:jc w:val="both"/>
      </w:pPr>
      <w:r>
        <w:t>Lo, C. C. &amp; Morton, J. J. L., (2014), Will Silicon Save Quantum Computing</w:t>
      </w:r>
      <w:proofErr w:type="gramStart"/>
      <w:r>
        <w:t>?,</w:t>
      </w:r>
      <w:proofErr w:type="gramEnd"/>
      <w:r>
        <w:t xml:space="preserve"> </w:t>
      </w:r>
      <w:r w:rsidRPr="00D03D9A">
        <w:rPr>
          <w:i/>
        </w:rPr>
        <w:t>IEEE Spectrum</w:t>
      </w:r>
      <w:r>
        <w:t>, Retrieved on 12 Sep 2014 from: http://spectrum.ieee.org/semiconductors/materials/will-silicon-save-quantum-computing@article{PhysRevX.4.021041,</w:t>
      </w:r>
    </w:p>
    <w:p w:rsidR="00D03D9A" w:rsidRDefault="00D03D9A" w:rsidP="00D03D9A">
      <w:pPr>
        <w:spacing w:after="120"/>
        <w:ind w:left="547" w:hanging="547"/>
        <w:jc w:val="both"/>
      </w:pPr>
      <w:r>
        <w:t xml:space="preserve">Lowood, H.E., (2003), Virtual Reality (VR), in the </w:t>
      </w:r>
      <w:r w:rsidRPr="00D03D9A">
        <w:rPr>
          <w:i/>
        </w:rPr>
        <w:t>Encyclopædia Britannica</w:t>
      </w:r>
      <w:r>
        <w:t>, retrieved from the internet,</w:t>
      </w:r>
      <w:r w:rsidR="00DA5461">
        <w:t xml:space="preserve"> 25Dec</w:t>
      </w:r>
      <w:r>
        <w:t>14, from http://www.britannica.com/EBchecked/topic/630181/virtual-reality-VR</w:t>
      </w:r>
      <w:r w:rsidR="00DA5461">
        <w:t xml:space="preserve">/253104/Education-and-training </w:t>
      </w:r>
    </w:p>
    <w:p w:rsidR="00D03D9A" w:rsidRDefault="00D03D9A" w:rsidP="00D03D9A">
      <w:pPr>
        <w:spacing w:after="120"/>
        <w:ind w:left="547" w:hanging="547"/>
        <w:jc w:val="both"/>
      </w:pPr>
      <w:r>
        <w:t xml:space="preserve"> </w:t>
      </w:r>
      <w:proofErr w:type="gramStart"/>
      <w:r>
        <w:t>Lanting, T. and Przybysz, A. J. and Smirnov, A. Yu.</w:t>
      </w:r>
      <w:proofErr w:type="gramEnd"/>
      <w:r>
        <w:t xml:space="preserve"> and Spedalieri, F. M. and Amin, M. H. and Berkley, A. J. and Harris, R. and Altomare, F. and Boixo, S. and Bunyk, P. and Dickson, N. and Enderud, C. and Hilton, J. P. </w:t>
      </w:r>
      <w:r>
        <w:lastRenderedPageBreak/>
        <w:t xml:space="preserve">and Hoskinson, E. and Johnson, M. W. and Ladizinsky, E. and Ladizinsky, N. and Neufeld, R. and Oh, T. and Perminov, I. and Rich, C. and Thom, M. C. and Tolkacheva, E. and Uchaikin, S. and Wilson, A. B. and Rose, G., (2014), Entanglement in a Quantum Annealing Processor, </w:t>
      </w:r>
      <w:r w:rsidRPr="00DA5461">
        <w:rPr>
          <w:i/>
        </w:rPr>
        <w:t>Physical Review X</w:t>
      </w:r>
      <w:r>
        <w:t>, 4. 02104 (2014)</w:t>
      </w:r>
    </w:p>
    <w:p w:rsidR="00D03D9A" w:rsidRDefault="00D03D9A" w:rsidP="00D03D9A">
      <w:pPr>
        <w:spacing w:after="120"/>
        <w:ind w:left="547" w:hanging="547"/>
        <w:jc w:val="both"/>
      </w:pPr>
      <w:r>
        <w:t xml:space="preserve">Logan, W. B., (2013), </w:t>
      </w:r>
      <w:r w:rsidRPr="00DA5461">
        <w:rPr>
          <w:i/>
        </w:rPr>
        <w:t>The Weather on D-Day</w:t>
      </w:r>
      <w:r>
        <w:t>, retrieved from internet on 11 December 2014, from https://medium.com/history-and-politics/the-weather-on-d-day-85ea0491a14f.</w:t>
      </w:r>
    </w:p>
    <w:p w:rsidR="00D03D9A" w:rsidRDefault="00D03D9A" w:rsidP="00D03D9A">
      <w:pPr>
        <w:spacing w:after="120"/>
        <w:ind w:left="547" w:hanging="547"/>
        <w:jc w:val="both"/>
      </w:pPr>
      <w:r>
        <w:t>Lucas, R.F., Tran, John. J. J., Wagenbreth, G., Pratt, D. &amp; Davis, D. M</w:t>
      </w:r>
      <w:proofErr w:type="gramStart"/>
      <w:r>
        <w:t>. ,</w:t>
      </w:r>
      <w:proofErr w:type="gramEnd"/>
      <w:r>
        <w:t xml:space="preserve"> </w:t>
      </w:r>
      <w:r w:rsidR="00DA5461">
        <w:t xml:space="preserve">(2013), </w:t>
      </w:r>
      <w:r>
        <w:t xml:space="preserve">Practical Adiabatic Quantum Computing: Implications for the Simulation Community,” in the </w:t>
      </w:r>
      <w:r w:rsidRPr="00DA5461">
        <w:rPr>
          <w:i/>
        </w:rPr>
        <w:t>Proceedings of the Interservice/Industry Simulation, Training and Education Conference</w:t>
      </w:r>
      <w:r>
        <w:t>, Orlando, Florida, November, 2013</w:t>
      </w:r>
    </w:p>
    <w:p w:rsidR="00D03D9A" w:rsidRDefault="00D03D9A" w:rsidP="00D03D9A">
      <w:pPr>
        <w:spacing w:after="120"/>
        <w:ind w:left="547" w:hanging="547"/>
        <w:jc w:val="both"/>
      </w:pPr>
      <w:r>
        <w:t>Messina, P., Davis, D. et al., (1997</w:t>
      </w:r>
      <w:r w:rsidR="00DA5461">
        <w:t xml:space="preserve">a) </w:t>
      </w:r>
      <w:r>
        <w:t>Synthetic Forces Express: A New Initiative in Scalable Computing for Military Simulations.</w:t>
      </w:r>
      <w:proofErr w:type="gramStart"/>
      <w:r>
        <w:t>",</w:t>
      </w:r>
      <w:proofErr w:type="gramEnd"/>
      <w:r>
        <w:t xml:space="preserve"> in the Proceedings of the </w:t>
      </w:r>
      <w:r w:rsidRPr="00DA5461">
        <w:rPr>
          <w:i/>
        </w:rPr>
        <w:t>Simulation Interoperability Workshop</w:t>
      </w:r>
      <w:r>
        <w:t>, Orlando, March 1997</w:t>
      </w:r>
    </w:p>
    <w:p w:rsidR="00D03D9A" w:rsidRDefault="00D03D9A" w:rsidP="00D03D9A">
      <w:pPr>
        <w:spacing w:after="120"/>
        <w:ind w:left="547" w:hanging="547"/>
        <w:jc w:val="both"/>
      </w:pPr>
      <w:r>
        <w:t xml:space="preserve">Messina, P., Brunett, S., Davis, D., Gottschalk, T., Curkendall, D., &amp; Seigel, H., (1997b) Distributed Interactive Simulation for Synthetic Forces, in the Proceedings of the </w:t>
      </w:r>
      <w:r w:rsidRPr="00DA5461">
        <w:rPr>
          <w:i/>
        </w:rPr>
        <w:t>11th International Parallel Processing Symposium</w:t>
      </w:r>
      <w:r>
        <w:t>, Geneva, Switzerland, April 97</w:t>
      </w:r>
    </w:p>
    <w:p w:rsidR="00D03D9A" w:rsidRDefault="00D03D9A" w:rsidP="00D03D9A">
      <w:pPr>
        <w:spacing w:after="120"/>
        <w:ind w:left="547" w:hanging="547"/>
        <w:jc w:val="both"/>
      </w:pPr>
      <w:r>
        <w:t xml:space="preserve">Mohan, K. &amp; Pearl, J., (2014), Graphical Models for Recovering Probabilistic and Causal Queries from Missing Data, </w:t>
      </w:r>
      <w:r w:rsidRPr="00DA5461">
        <w:rPr>
          <w:i/>
        </w:rPr>
        <w:t>UCLA Cognitive Systems Laboratory, Technical Report (R-442)</w:t>
      </w:r>
      <w:r>
        <w:t>, November 2014.</w:t>
      </w:r>
    </w:p>
    <w:p w:rsidR="00D03D9A" w:rsidRDefault="00D03D9A" w:rsidP="00D03D9A">
      <w:pPr>
        <w:spacing w:after="120"/>
        <w:ind w:left="547" w:hanging="547"/>
        <w:jc w:val="both"/>
      </w:pPr>
      <w:r>
        <w:t xml:space="preserve">Pearl, J., (2000), </w:t>
      </w:r>
      <w:r w:rsidRPr="00DA5461">
        <w:rPr>
          <w:i/>
        </w:rPr>
        <w:t>Causality: models, reasoning and inference (Vol. 29)</w:t>
      </w:r>
      <w:r>
        <w:t>, Cambridge: MIT press.</w:t>
      </w:r>
    </w:p>
    <w:p w:rsidR="00D03D9A" w:rsidRDefault="00D03D9A" w:rsidP="00D03D9A">
      <w:pPr>
        <w:spacing w:after="120"/>
        <w:ind w:left="547" w:hanging="547"/>
        <w:jc w:val="both"/>
      </w:pPr>
      <w:r>
        <w:t xml:space="preserve">Simple English Wikipedia, (2014), </w:t>
      </w:r>
      <w:r w:rsidRPr="00DA5461">
        <w:rPr>
          <w:i/>
        </w:rPr>
        <w:t>Quantum mechanics</w:t>
      </w:r>
      <w:r>
        <w:t>, retrieved from internet on 18 December 2014, from http://simple.wikipedia.org/wiki/Quantum_</w:t>
      </w:r>
      <w:proofErr w:type="gramStart"/>
      <w:r>
        <w:t>mechanics .</w:t>
      </w:r>
      <w:proofErr w:type="gramEnd"/>
    </w:p>
    <w:p w:rsidR="00D03D9A" w:rsidRDefault="00D03D9A" w:rsidP="00D03D9A">
      <w:pPr>
        <w:spacing w:after="120"/>
        <w:ind w:left="547" w:hanging="547"/>
        <w:jc w:val="both"/>
      </w:pPr>
      <w:r>
        <w:t xml:space="preserve">Surdu, J. &amp; </w:t>
      </w:r>
      <w:proofErr w:type="spellStart"/>
      <w:r>
        <w:t>Kitka</w:t>
      </w:r>
      <w:proofErr w:type="spellEnd"/>
      <w:r>
        <w:t xml:space="preserve">, K., (2008) Deep Green: Commander’s tool for COA’s Concept, in the proceedings of the </w:t>
      </w:r>
      <w:r w:rsidRPr="00DA5461">
        <w:rPr>
          <w:i/>
        </w:rPr>
        <w:t xml:space="preserve">2008 Computing, Communications and Control Technology Conference (DDT) </w:t>
      </w:r>
      <w:r>
        <w:t>29 Jun-2 Jul 2008, Orlando Fl.</w:t>
      </w:r>
    </w:p>
    <w:p w:rsidR="00D03D9A" w:rsidRDefault="00D03D9A" w:rsidP="00D03D9A">
      <w:pPr>
        <w:spacing w:after="120"/>
        <w:ind w:left="547" w:hanging="547"/>
        <w:jc w:val="both"/>
      </w:pPr>
      <w:r>
        <w:t xml:space="preserve">Tegarden, D.P. (1999), Business Information Visualization, </w:t>
      </w:r>
      <w:r w:rsidRPr="00DA5461">
        <w:rPr>
          <w:i/>
        </w:rPr>
        <w:t>Communications of AIS, Volume 1, Article 4</w:t>
      </w:r>
    </w:p>
    <w:p w:rsidR="00D03D9A" w:rsidRDefault="00D03D9A" w:rsidP="00D03D9A">
      <w:pPr>
        <w:spacing w:after="120"/>
        <w:ind w:left="547" w:hanging="547"/>
        <w:jc w:val="both"/>
      </w:pPr>
      <w:r>
        <w:t xml:space="preserve">Wang, Y., Bollig, E. F., </w:t>
      </w:r>
      <w:proofErr w:type="spellStart"/>
      <w:r>
        <w:t>Kadlec</w:t>
      </w:r>
      <w:proofErr w:type="spellEnd"/>
      <w:r>
        <w:t xml:space="preserve">, B. J., Garbow, Z. A., Erlebacher, G. , Yuen, D. A., Rudolph, M., Yang, L. X., &amp; Sevre, E.O.D., (2005), WEB-IS (integrated system): an overall view, </w:t>
      </w:r>
      <w:r w:rsidRPr="00DA5461">
        <w:rPr>
          <w:i/>
        </w:rPr>
        <w:t>Journal: International Review of Economics</w:t>
      </w:r>
      <w:r>
        <w:t>, vol. 10, no. 1, pp. 27-42, 2005.</w:t>
      </w:r>
    </w:p>
    <w:p w:rsidR="00D03D9A" w:rsidRDefault="00D03D9A" w:rsidP="00D03D9A">
      <w:pPr>
        <w:spacing w:after="120"/>
        <w:ind w:left="547" w:hanging="547"/>
        <w:jc w:val="both"/>
      </w:pPr>
      <w:r>
        <w:t xml:space="preserve">Wikipedia, (2014), </w:t>
      </w:r>
      <w:r w:rsidRPr="00DA5461">
        <w:rPr>
          <w:i/>
        </w:rPr>
        <w:t>Quantum mechanics</w:t>
      </w:r>
      <w:r>
        <w:t>, retrieved from internet on 18 December 2014, from http://en.wikipedia.org/wiki/Quantum_mechanics</w:t>
      </w:r>
    </w:p>
    <w:p w:rsidR="00065002" w:rsidRDefault="00D03D9A" w:rsidP="00D03D9A">
      <w:pPr>
        <w:spacing w:after="120"/>
        <w:ind w:left="547" w:hanging="547"/>
        <w:jc w:val="both"/>
      </w:pPr>
      <w:r>
        <w:t xml:space="preserve">Yao, K.T., Lucas, R. F., Ward, C. E., &amp; Wagenbreth, G., (2009), Data Analysis for Massively Distributed Simulations, in the Proceedings of the </w:t>
      </w:r>
      <w:r w:rsidRPr="00DA5461">
        <w:rPr>
          <w:i/>
        </w:rPr>
        <w:t>Interservice/Industry Simulation, Training and Education Conference</w:t>
      </w:r>
      <w:r>
        <w:t>, Orlando, Florida, 2009</w:t>
      </w: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26" w:rsidRDefault="00835726">
      <w:r>
        <w:separator/>
      </w:r>
    </w:p>
  </w:endnote>
  <w:endnote w:type="continuationSeparator" w:id="0">
    <w:p w:rsidR="00835726" w:rsidRDefault="008357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1C5F1F">
      <w:rPr>
        <w:i/>
        <w:sz w:val="18"/>
        <w:szCs w:val="18"/>
      </w:rPr>
      <w:t>5</w:t>
    </w:r>
    <w:r w:rsidR="00B077F4">
      <w:rPr>
        <w:i/>
        <w:sz w:val="18"/>
        <w:szCs w:val="18"/>
      </w:rPr>
      <w:t xml:space="preserve"> Paper No. </w:t>
    </w:r>
    <w:proofErr w:type="spellStart"/>
    <w:r w:rsidR="00B077F4">
      <w:rPr>
        <w:i/>
        <w:sz w:val="18"/>
        <w:szCs w:val="18"/>
      </w:rPr>
      <w:t>nnnn</w:t>
    </w:r>
    <w:proofErr w:type="spellEnd"/>
    <w:r w:rsidR="00B077F4">
      <w:rPr>
        <w:i/>
        <w:sz w:val="18"/>
        <w:szCs w:val="18"/>
      </w:rPr>
      <w:t xml:space="preserve"> </w:t>
    </w:r>
    <w:r w:rsidR="00B077F4">
      <w:rPr>
        <w:i/>
        <w:snapToGrid w:val="0"/>
        <w:sz w:val="18"/>
        <w:szCs w:val="18"/>
      </w:rPr>
      <w:t xml:space="preserve">Page </w:t>
    </w:r>
    <w:r w:rsidR="00AE492D">
      <w:rPr>
        <w:i/>
        <w:snapToGrid w:val="0"/>
        <w:sz w:val="18"/>
        <w:szCs w:val="18"/>
      </w:rPr>
      <w:fldChar w:fldCharType="begin"/>
    </w:r>
    <w:r w:rsidR="00B077F4">
      <w:rPr>
        <w:i/>
        <w:snapToGrid w:val="0"/>
        <w:sz w:val="18"/>
        <w:szCs w:val="18"/>
      </w:rPr>
      <w:instrText xml:space="preserve"> PAGE </w:instrText>
    </w:r>
    <w:r w:rsidR="00AE492D">
      <w:rPr>
        <w:i/>
        <w:snapToGrid w:val="0"/>
        <w:sz w:val="18"/>
        <w:szCs w:val="18"/>
      </w:rPr>
      <w:fldChar w:fldCharType="separate"/>
    </w:r>
    <w:r w:rsidR="00EC3573">
      <w:rPr>
        <w:i/>
        <w:noProof/>
        <w:snapToGrid w:val="0"/>
        <w:sz w:val="18"/>
        <w:szCs w:val="18"/>
      </w:rPr>
      <w:t>2</w:t>
    </w:r>
    <w:r w:rsidR="00AE492D">
      <w:rPr>
        <w:i/>
        <w:snapToGrid w:val="0"/>
        <w:sz w:val="18"/>
        <w:szCs w:val="18"/>
      </w:rPr>
      <w:fldChar w:fldCharType="end"/>
    </w:r>
    <w:r w:rsidR="00B077F4">
      <w:rPr>
        <w:i/>
        <w:snapToGrid w:val="0"/>
        <w:sz w:val="18"/>
        <w:szCs w:val="18"/>
      </w:rPr>
      <w:t xml:space="preserve"> of </w:t>
    </w:r>
    <w:r w:rsidR="00AE492D">
      <w:rPr>
        <w:i/>
        <w:snapToGrid w:val="0"/>
        <w:sz w:val="18"/>
        <w:szCs w:val="18"/>
      </w:rPr>
      <w:fldChar w:fldCharType="begin"/>
    </w:r>
    <w:r w:rsidR="00B077F4">
      <w:rPr>
        <w:i/>
        <w:snapToGrid w:val="0"/>
        <w:sz w:val="18"/>
        <w:szCs w:val="18"/>
      </w:rPr>
      <w:instrText xml:space="preserve"> NUMPAGES </w:instrText>
    </w:r>
    <w:r w:rsidR="00AE492D">
      <w:rPr>
        <w:i/>
        <w:snapToGrid w:val="0"/>
        <w:sz w:val="18"/>
        <w:szCs w:val="18"/>
      </w:rPr>
      <w:fldChar w:fldCharType="separate"/>
    </w:r>
    <w:r w:rsidR="00EC3573">
      <w:rPr>
        <w:i/>
        <w:noProof/>
        <w:snapToGrid w:val="0"/>
        <w:sz w:val="18"/>
        <w:szCs w:val="18"/>
      </w:rPr>
      <w:t>6</w:t>
    </w:r>
    <w:r w:rsidR="00AE492D">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26" w:rsidRDefault="00835726">
      <w:r>
        <w:separator/>
      </w:r>
    </w:p>
  </w:footnote>
  <w:footnote w:type="continuationSeparator" w:id="0">
    <w:p w:rsidR="00835726" w:rsidRDefault="00835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B077F4" w:rsidP="00754297">
    <w:pPr>
      <w:pStyle w:val="Header"/>
      <w:tabs>
        <w:tab w:val="clear" w:pos="8640"/>
        <w:tab w:val="left" w:pos="9360"/>
      </w:tabs>
      <w:jc w:val="right"/>
      <w:rPr>
        <w:i/>
        <w:iCs/>
        <w:sz w:val="18"/>
      </w:rPr>
    </w:pPr>
    <w:r>
      <w:rPr>
        <w:i/>
        <w:iCs/>
        <w:sz w:val="18"/>
      </w:rPr>
      <w:t>Interservice/Industry Training, Simulation, and Ed</w:t>
    </w:r>
    <w:r w:rsidR="009A12AC">
      <w:rPr>
        <w:i/>
        <w:iCs/>
        <w:sz w:val="18"/>
      </w:rPr>
      <w:t>u</w:t>
    </w:r>
    <w:r w:rsidR="00E073C8">
      <w:rPr>
        <w:i/>
        <w:iCs/>
        <w:sz w:val="18"/>
      </w:rPr>
      <w:t>cation Conference (I/ITSEC) 20</w:t>
    </w:r>
    <w:r w:rsidR="00DB019D">
      <w:rPr>
        <w:i/>
        <w:iCs/>
        <w:sz w:val="18"/>
      </w:rPr>
      <w:t>1</w:t>
    </w:r>
    <w:r w:rsidR="0082617D">
      <w:rPr>
        <w:i/>
        <w:iCs/>
        <w:sz w:val="1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477E1"/>
    <w:rsid w:val="00047D2E"/>
    <w:rsid w:val="000612C8"/>
    <w:rsid w:val="00065002"/>
    <w:rsid w:val="000A767C"/>
    <w:rsid w:val="000F49D9"/>
    <w:rsid w:val="001721DA"/>
    <w:rsid w:val="001925A8"/>
    <w:rsid w:val="001B6B93"/>
    <w:rsid w:val="001C5F1F"/>
    <w:rsid w:val="00266873"/>
    <w:rsid w:val="002A26A2"/>
    <w:rsid w:val="002C398C"/>
    <w:rsid w:val="003C2DE4"/>
    <w:rsid w:val="003C433C"/>
    <w:rsid w:val="003D2540"/>
    <w:rsid w:val="003D2A98"/>
    <w:rsid w:val="004728AB"/>
    <w:rsid w:val="00476289"/>
    <w:rsid w:val="00550480"/>
    <w:rsid w:val="005743F5"/>
    <w:rsid w:val="00574692"/>
    <w:rsid w:val="005D722B"/>
    <w:rsid w:val="006E6255"/>
    <w:rsid w:val="007024BE"/>
    <w:rsid w:val="007038B3"/>
    <w:rsid w:val="00754297"/>
    <w:rsid w:val="00755052"/>
    <w:rsid w:val="00764D77"/>
    <w:rsid w:val="007C1C8F"/>
    <w:rsid w:val="007E4F2F"/>
    <w:rsid w:val="007F44C6"/>
    <w:rsid w:val="0082617D"/>
    <w:rsid w:val="0083476B"/>
    <w:rsid w:val="00835726"/>
    <w:rsid w:val="00850C7D"/>
    <w:rsid w:val="00856783"/>
    <w:rsid w:val="00867030"/>
    <w:rsid w:val="00873B59"/>
    <w:rsid w:val="00960E20"/>
    <w:rsid w:val="009648EB"/>
    <w:rsid w:val="009A12AC"/>
    <w:rsid w:val="009C7E29"/>
    <w:rsid w:val="009F4744"/>
    <w:rsid w:val="00AA07F5"/>
    <w:rsid w:val="00AE492D"/>
    <w:rsid w:val="00B0660E"/>
    <w:rsid w:val="00B077F4"/>
    <w:rsid w:val="00B76BE8"/>
    <w:rsid w:val="00C3532D"/>
    <w:rsid w:val="00C9057B"/>
    <w:rsid w:val="00CC5072"/>
    <w:rsid w:val="00CD01F7"/>
    <w:rsid w:val="00CE614A"/>
    <w:rsid w:val="00D02740"/>
    <w:rsid w:val="00D03D9A"/>
    <w:rsid w:val="00DA5461"/>
    <w:rsid w:val="00DB019D"/>
    <w:rsid w:val="00DB1049"/>
    <w:rsid w:val="00E073C8"/>
    <w:rsid w:val="00EC3573"/>
    <w:rsid w:val="00F12494"/>
    <w:rsid w:val="00F22FD6"/>
    <w:rsid w:val="00F40242"/>
    <w:rsid w:val="00F65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072"/>
  </w:style>
  <w:style w:type="paragraph" w:styleId="Heading1">
    <w:name w:val="heading 1"/>
    <w:basedOn w:val="Normal"/>
    <w:next w:val="Normal"/>
    <w:qFormat/>
    <w:rsid w:val="00CC5072"/>
    <w:pPr>
      <w:keepNext/>
      <w:jc w:val="center"/>
      <w:outlineLvl w:val="0"/>
    </w:pPr>
    <w:rPr>
      <w:b/>
    </w:rPr>
  </w:style>
  <w:style w:type="paragraph" w:styleId="Heading2">
    <w:name w:val="heading 2"/>
    <w:basedOn w:val="Normal"/>
    <w:next w:val="Normal"/>
    <w:qFormat/>
    <w:rsid w:val="00CC5072"/>
    <w:pPr>
      <w:keepNext/>
      <w:jc w:val="both"/>
      <w:outlineLvl w:val="1"/>
    </w:pPr>
    <w:rPr>
      <w:b/>
      <w:bCs/>
    </w:rPr>
  </w:style>
  <w:style w:type="paragraph" w:styleId="Heading3">
    <w:name w:val="heading 3"/>
    <w:basedOn w:val="Normal"/>
    <w:next w:val="Normal"/>
    <w:qFormat/>
    <w:rsid w:val="00CC507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CC5072"/>
    <w:pPr>
      <w:ind w:firstLine="181"/>
      <w:jc w:val="both"/>
    </w:pPr>
    <w:rPr>
      <w:b/>
      <w:sz w:val="36"/>
      <w:lang w:val="en-AU"/>
    </w:rPr>
  </w:style>
  <w:style w:type="character" w:styleId="Hyperlink">
    <w:name w:val="Hyperlink"/>
    <w:basedOn w:val="DefaultParagraphFont"/>
    <w:rsid w:val="00CC5072"/>
    <w:rPr>
      <w:color w:val="0000FF"/>
      <w:u w:val="single"/>
    </w:rPr>
  </w:style>
  <w:style w:type="character" w:styleId="FollowedHyperlink">
    <w:name w:val="FollowedHyperlink"/>
    <w:basedOn w:val="DefaultParagraphFont"/>
    <w:rsid w:val="00CC5072"/>
    <w:rPr>
      <w:color w:val="800080"/>
      <w:u w:val="single"/>
    </w:rPr>
  </w:style>
  <w:style w:type="paragraph" w:styleId="BodyText">
    <w:name w:val="Body Text"/>
    <w:basedOn w:val="Normal"/>
    <w:rsid w:val="00CC5072"/>
    <w:pPr>
      <w:jc w:val="both"/>
    </w:pPr>
    <w:rPr>
      <w:b/>
      <w:color w:val="FF0000"/>
    </w:rPr>
  </w:style>
  <w:style w:type="paragraph" w:styleId="BodyText2">
    <w:name w:val="Body Text 2"/>
    <w:basedOn w:val="Normal"/>
    <w:rsid w:val="00CC5072"/>
    <w:pPr>
      <w:jc w:val="both"/>
    </w:pPr>
    <w:rPr>
      <w:iCs/>
    </w:rPr>
  </w:style>
  <w:style w:type="paragraph" w:styleId="HTMLPreformatted">
    <w:name w:val="HTML Preformatted"/>
    <w:basedOn w:val="Normal"/>
    <w:rsid w:val="00CC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CC5072"/>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CC5072"/>
    <w:pPr>
      <w:keepLines/>
      <w:tabs>
        <w:tab w:val="center" w:pos="4320"/>
        <w:tab w:val="right" w:pos="8640"/>
      </w:tabs>
    </w:pPr>
  </w:style>
  <w:style w:type="character" w:styleId="PageNumber">
    <w:name w:val="page number"/>
    <w:rsid w:val="00CC5072"/>
    <w:rPr>
      <w:b/>
    </w:rPr>
  </w:style>
  <w:style w:type="paragraph" w:styleId="Header">
    <w:name w:val="header"/>
    <w:basedOn w:val="Normal"/>
    <w:rsid w:val="00CC5072"/>
    <w:pPr>
      <w:tabs>
        <w:tab w:val="center" w:pos="4320"/>
        <w:tab w:val="right" w:pos="8640"/>
      </w:tabs>
    </w:pPr>
  </w:style>
  <w:style w:type="paragraph" w:styleId="Title">
    <w:name w:val="Title"/>
    <w:basedOn w:val="Normal"/>
    <w:qFormat/>
    <w:rsid w:val="00CC5072"/>
    <w:pPr>
      <w:jc w:val="center"/>
    </w:pPr>
    <w:rPr>
      <w:b/>
      <w:sz w:val="28"/>
    </w:rPr>
  </w:style>
  <w:style w:type="paragraph" w:customStyle="1" w:styleId="Figure">
    <w:name w:val="Figure"/>
    <w:basedOn w:val="Normal"/>
    <w:rsid w:val="00CC5072"/>
    <w:pPr>
      <w:jc w:val="center"/>
    </w:pPr>
    <w:rPr>
      <w:b/>
      <w:bCs/>
    </w:rPr>
  </w:style>
  <w:style w:type="paragraph" w:customStyle="1" w:styleId="Acknowlegements">
    <w:name w:val="Acknowlegements"/>
    <w:basedOn w:val="Heading1"/>
    <w:rsid w:val="00CC5072"/>
    <w:pPr>
      <w:spacing w:before="200"/>
      <w:jc w:val="both"/>
    </w:pPr>
    <w:rPr>
      <w:caps/>
    </w:rPr>
  </w:style>
  <w:style w:type="paragraph" w:styleId="BalloonText">
    <w:name w:val="Balloon Text"/>
    <w:basedOn w:val="Normal"/>
    <w:semiHidden/>
    <w:rsid w:val="00CC5072"/>
    <w:rPr>
      <w:rFonts w:ascii="Tahoma" w:hAnsi="Tahoma" w:cs="Tahoma"/>
      <w:sz w:val="16"/>
      <w:szCs w:val="16"/>
    </w:rPr>
  </w:style>
  <w:style w:type="paragraph" w:customStyle="1" w:styleId="TableCaption">
    <w:name w:val="TableCaption"/>
    <w:basedOn w:val="Heading3"/>
    <w:rsid w:val="00CC5072"/>
    <w:pPr>
      <w:jc w:val="center"/>
    </w:pPr>
  </w:style>
  <w:style w:type="paragraph" w:customStyle="1" w:styleId="FigureCaption">
    <w:name w:val="FigureCaption"/>
    <w:basedOn w:val="Heading1"/>
    <w:rsid w:val="00CC5072"/>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3</TotalTime>
  <Pages>6</Pages>
  <Words>2356</Words>
  <Characters>13547</Characters>
  <Application>Microsoft Office Word</Application>
  <DocSecurity>0</DocSecurity>
  <Lines>356</Lines>
  <Paragraphs>68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15835</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4</cp:revision>
  <cp:lastPrinted>2004-03-30T12:02:00Z</cp:lastPrinted>
  <dcterms:created xsi:type="dcterms:W3CDTF">2014-12-30T23:41:00Z</dcterms:created>
  <dcterms:modified xsi:type="dcterms:W3CDTF">2014-12-30T23:45:00Z</dcterms:modified>
</cp:coreProperties>
</file>