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A20B4E" w:rsidP="00A20B4E">
      <w:pPr>
        <w:tabs>
          <w:tab w:val="left" w:pos="1040"/>
          <w:tab w:val="center" w:pos="4680"/>
        </w:tabs>
        <w:jc w:val="left"/>
        <w:rPr>
          <w:b/>
          <w:sz w:val="28"/>
        </w:rPr>
      </w:pPr>
      <w:r>
        <w:rPr>
          <w:b/>
          <w:sz w:val="28"/>
        </w:rPr>
        <w:tab/>
      </w:r>
      <w:r>
        <w:rPr>
          <w:b/>
          <w:sz w:val="28"/>
        </w:rPr>
        <w:tab/>
      </w:r>
      <w:r w:rsidR="00451DD6">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p w:rsidR="00C411C8" w:rsidRPr="00C411C8" w:rsidRDefault="00C411C8" w:rsidP="0074636D">
      <w:pPr>
        <w:jc w:val="center"/>
        <w:rPr>
          <w:i/>
        </w:rPr>
      </w:pPr>
      <w:r w:rsidRPr="00C411C8">
        <w:rPr>
          <w:i/>
        </w:rPr>
        <w:t>E. Philip Amburn</w:t>
      </w:r>
    </w:p>
    <w:p w:rsidR="00C411C8" w:rsidRPr="00C411C8" w:rsidRDefault="00C411C8" w:rsidP="002C3F58">
      <w:pPr>
        <w:jc w:val="center"/>
        <w:rPr>
          <w:i/>
        </w:rPr>
      </w:pPr>
      <w:r w:rsidRPr="00C411C8">
        <w:rPr>
          <w:i/>
        </w:rPr>
        <w:t>Dept. of Computer Science</w:t>
      </w:r>
    </w:p>
    <w:p w:rsidR="00C411C8" w:rsidRPr="00C411C8" w:rsidRDefault="00C411C8" w:rsidP="002C3F58">
      <w:pPr>
        <w:jc w:val="center"/>
        <w:rPr>
          <w:i/>
        </w:rPr>
      </w:pPr>
      <w:r w:rsidRPr="00C411C8">
        <w:rPr>
          <w:i/>
        </w:rPr>
        <w:t xml:space="preserve"> University of Arizona</w:t>
      </w:r>
    </w:p>
    <w:p w:rsidR="00C411C8" w:rsidRDefault="00C411C8" w:rsidP="002C3F58">
      <w:pPr>
        <w:jc w:val="center"/>
      </w:pPr>
    </w:p>
    <w:p w:rsidR="00C411C8" w:rsidRPr="003D3C12" w:rsidRDefault="00C411C8" w:rsidP="00C411C8">
      <w:pPr>
        <w:jc w:val="center"/>
      </w:pPr>
      <w:r>
        <w:t>amburn@cs.arizona.ed</w:t>
      </w:r>
      <w:r>
        <w:t>u</w:t>
      </w:r>
    </w:p>
    <w:p w:rsidR="00C411C8" w:rsidRDefault="00C411C8" w:rsidP="0074636D">
      <w:pPr>
        <w:jc w:val="center"/>
      </w:pPr>
    </w:p>
    <w:p w:rsidR="00C411C8" w:rsidRPr="00C411C8" w:rsidRDefault="00C411C8" w:rsidP="009E7C21">
      <w:pPr>
        <w:jc w:val="center"/>
        <w:rPr>
          <w:i/>
        </w:rPr>
      </w:pPr>
      <w:r w:rsidRPr="00C411C8">
        <w:rPr>
          <w:i/>
        </w:rPr>
        <w:t>Dan M. Davis</w:t>
      </w:r>
    </w:p>
    <w:p w:rsidR="00C411C8" w:rsidRPr="00C411C8" w:rsidRDefault="00C411C8" w:rsidP="009E7C21">
      <w:pPr>
        <w:jc w:val="center"/>
        <w:rPr>
          <w:i/>
          <w:color w:val="4A442A" w:themeColor="background2" w:themeShade="40"/>
        </w:rPr>
      </w:pPr>
      <w:r w:rsidRPr="00C411C8">
        <w:rPr>
          <w:i/>
          <w:color w:val="4A442A" w:themeColor="background2" w:themeShade="40"/>
        </w:rPr>
        <w:t>HPC-Education</w:t>
      </w:r>
    </w:p>
    <w:p w:rsidR="00C411C8" w:rsidRDefault="00C411C8" w:rsidP="0074636D">
      <w:pPr>
        <w:jc w:val="center"/>
        <w:rPr>
          <w:i/>
          <w:color w:val="4A442A" w:themeColor="background2" w:themeShade="40"/>
        </w:rPr>
      </w:pPr>
    </w:p>
    <w:p w:rsidR="00C411C8" w:rsidRPr="00C411C8" w:rsidRDefault="00C411C8" w:rsidP="0074636D">
      <w:pPr>
        <w:jc w:val="center"/>
      </w:pPr>
      <w:r w:rsidRPr="00C411C8">
        <w:rPr>
          <w:color w:val="4A442A" w:themeColor="background2" w:themeShade="40"/>
        </w:rPr>
        <w:t>dmdavis@acm.org</w:t>
      </w:r>
    </w:p>
    <w:p w:rsidR="00C411C8" w:rsidRPr="003D3C12" w:rsidRDefault="00C411C8" w:rsidP="009E7C21">
      <w:pPr>
        <w:jc w:val="center"/>
      </w:pPr>
    </w:p>
    <w:p w:rsidR="00C411C8" w:rsidRDefault="00C411C8" w:rsidP="0074636D">
      <w:pPr>
        <w:jc w:val="center"/>
      </w:pPr>
    </w:p>
    <w:p w:rsidR="00C411C8" w:rsidRPr="00C411C8" w:rsidRDefault="00C411C8" w:rsidP="009E7C21">
      <w:pPr>
        <w:jc w:val="center"/>
        <w:rPr>
          <w:i/>
        </w:rPr>
      </w:pPr>
      <w:r w:rsidRPr="00C411C8">
        <w:rPr>
          <w:i/>
        </w:rPr>
        <w:t>Robert F. Lucas &amp; Gene Wagenbreth</w:t>
      </w:r>
    </w:p>
    <w:p w:rsidR="00C411C8" w:rsidRPr="00C411C8" w:rsidRDefault="00C411C8" w:rsidP="009E7C21">
      <w:pPr>
        <w:jc w:val="center"/>
        <w:rPr>
          <w:i/>
        </w:rPr>
      </w:pPr>
      <w:r w:rsidRPr="00C411C8">
        <w:rPr>
          <w:i/>
        </w:rPr>
        <w:t xml:space="preserve">Information Sciences Inst. </w:t>
      </w:r>
    </w:p>
    <w:p w:rsidR="00C411C8" w:rsidRPr="00C411C8" w:rsidRDefault="00C411C8" w:rsidP="009E7C21">
      <w:pPr>
        <w:jc w:val="center"/>
        <w:rPr>
          <w:i/>
        </w:rPr>
      </w:pPr>
      <w:r w:rsidRPr="00C411C8">
        <w:rPr>
          <w:i/>
        </w:rPr>
        <w:t>Univ. of Southern California</w:t>
      </w:r>
    </w:p>
    <w:p w:rsidR="00C411C8" w:rsidRDefault="00C411C8" w:rsidP="0074636D">
      <w:pPr>
        <w:jc w:val="center"/>
      </w:pPr>
    </w:p>
    <w:p w:rsidR="00C411C8" w:rsidRDefault="00C411C8" w:rsidP="009E7C21">
      <w:pPr>
        <w:jc w:val="center"/>
      </w:pPr>
      <w:r>
        <w:t>{</w:t>
      </w:r>
      <w:proofErr w:type="gramStart"/>
      <w:r>
        <w:t>r</w:t>
      </w:r>
      <w:r w:rsidRPr="003D3C12">
        <w:t>flucas</w:t>
      </w:r>
      <w:proofErr w:type="gramEnd"/>
      <w:r>
        <w:t xml:space="preserve">, </w:t>
      </w:r>
      <w:proofErr w:type="spellStart"/>
      <w:r>
        <w:t>genew</w:t>
      </w:r>
      <w:proofErr w:type="spellEnd"/>
      <w:r>
        <w:t>}</w:t>
      </w:r>
      <w:r w:rsidRPr="003D3C12">
        <w:t>@isi.edu</w:t>
      </w:r>
      <w:r>
        <w:t xml:space="preserve"> </w:t>
      </w:r>
    </w:p>
    <w:p w:rsidR="00C411C8" w:rsidRDefault="00C411C8" w:rsidP="0074636D">
      <w:pPr>
        <w:jc w:val="center"/>
      </w:pPr>
    </w:p>
    <w:p w:rsidR="002515CE" w:rsidRDefault="002515CE" w:rsidP="004E5751">
      <w:pPr>
        <w:jc w:val="center"/>
      </w:pPr>
    </w:p>
    <w:p w:rsidR="00616AA4" w:rsidRDefault="002515CE" w:rsidP="00C411C8">
      <w:pPr>
        <w:rPr>
          <w:i/>
          <w:sz w:val="20"/>
        </w:rPr>
      </w:pPr>
      <w:r w:rsidRPr="00AF541E">
        <w:rPr>
          <w:b/>
        </w:rPr>
        <w:t>Abstract</w:t>
      </w:r>
      <w:r w:rsidR="00C411C8">
        <w:rPr>
          <w:b/>
        </w:rPr>
        <w:t xml:space="preserve">: </w:t>
      </w:r>
      <w:r w:rsidR="00EF5DD6">
        <w:rPr>
          <w:i/>
          <w:sz w:val="20"/>
        </w:rPr>
        <w:t>This paper examines the special data visualization needs and challenges presented by large-scale battlespace simulations.</w:t>
      </w:r>
      <w:r w:rsidR="00311155">
        <w:rPr>
          <w:i/>
          <w:sz w:val="20"/>
        </w:rPr>
        <w:t xml:space="preserve"> </w:t>
      </w:r>
      <w:r w:rsidR="00EF5DD6">
        <w:rPr>
          <w:i/>
          <w:sz w:val="20"/>
        </w:rPr>
        <w:t>Within the last decade, intelligent agent simulations have been enabled by high-performance computing to reach levels exceeding ten million entities (individual personnel, v</w:t>
      </w:r>
      <w:r w:rsidR="00EF5DD6">
        <w:rPr>
          <w:i/>
          <w:sz w:val="20"/>
        </w:rPr>
        <w:t>e</w:t>
      </w:r>
      <w:r w:rsidR="00EF5DD6">
        <w:rPr>
          <w:i/>
          <w:sz w:val="20"/>
        </w:rPr>
        <w:t>hicles, weapons systems, etc.). These large-scale simulations create incredibly large sets of data in very short periods of time. Managing this data is a field of research of its own, but optimally e</w:t>
      </w:r>
      <w:r w:rsidR="00EF5DD6">
        <w:rPr>
          <w:i/>
          <w:sz w:val="20"/>
        </w:rPr>
        <w:t>x</w:t>
      </w:r>
      <w:r w:rsidR="00EF5DD6">
        <w:rPr>
          <w:i/>
          <w:sz w:val="20"/>
        </w:rPr>
        <w:t>ploiting this flood of data is even more challenging.</w:t>
      </w:r>
      <w:r w:rsidR="00311155">
        <w:rPr>
          <w:i/>
          <w:sz w:val="20"/>
        </w:rPr>
        <w:t xml:space="preserve"> </w:t>
      </w:r>
      <w:r w:rsidR="00D14DF3">
        <w:rPr>
          <w:i/>
          <w:sz w:val="20"/>
        </w:rPr>
        <w:t>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w:t>
      </w:r>
      <w:r w:rsidR="00D14DF3">
        <w:rPr>
          <w:i/>
          <w:sz w:val="20"/>
        </w:rPr>
        <w:t>r</w:t>
      </w:r>
      <w:r w:rsidR="00D14DF3">
        <w:rPr>
          <w:i/>
          <w:sz w:val="20"/>
        </w:rPr>
        <w:t xml:space="preserve">vice or intelligence analysis. </w:t>
      </w:r>
      <w:r w:rsidR="00EF5DD6">
        <w:rPr>
          <w:i/>
          <w:sz w:val="20"/>
        </w:rPr>
        <w:t>The paper recount</w:t>
      </w:r>
      <w:r w:rsidR="00EC0395">
        <w:rPr>
          <w:i/>
          <w:sz w:val="20"/>
        </w:rPr>
        <w:t>s</w:t>
      </w:r>
      <w:r w:rsidR="00EF5DD6">
        <w:rPr>
          <w:i/>
          <w:sz w:val="20"/>
        </w:rPr>
        <w:t xml:space="preserve"> and allude</w:t>
      </w:r>
      <w:r w:rsidR="00EC0395">
        <w:rPr>
          <w:i/>
          <w:sz w:val="20"/>
        </w:rPr>
        <w:t>s</w:t>
      </w:r>
      <w:r w:rsidR="00EF5DD6">
        <w:rPr>
          <w:i/>
          <w:sz w:val="20"/>
        </w:rPr>
        <w:t xml:space="preserve"> to historical examples </w:t>
      </w:r>
      <w:r w:rsidR="00EC0395">
        <w:rPr>
          <w:i/>
          <w:sz w:val="20"/>
        </w:rPr>
        <w:t>of the difficulties</w:t>
      </w:r>
      <w:r w:rsidR="00EF5DD6">
        <w:rPr>
          <w:i/>
          <w:sz w:val="20"/>
        </w:rPr>
        <w:t xml:space="preserve"> in effectively conveying information </w:t>
      </w:r>
      <w:r w:rsidR="00D14DF3">
        <w:rPr>
          <w:i/>
          <w:sz w:val="20"/>
        </w:rPr>
        <w:t>within</w:t>
      </w:r>
      <w:r w:rsidR="00EF5DD6">
        <w:rPr>
          <w:i/>
          <w:sz w:val="20"/>
        </w:rPr>
        <w:t xml:space="preserve"> the chain of command, supporting the notion that these problems are neither unique to simulation nor are they issues that can be ignored</w:t>
      </w:r>
      <w:r w:rsidR="00D14DF3">
        <w:rPr>
          <w:i/>
          <w:sz w:val="20"/>
        </w:rPr>
        <w:t>, especially</w:t>
      </w:r>
      <w:r w:rsidR="00EF5DD6">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sidR="00EF5DD6">
        <w:rPr>
          <w:i/>
          <w:sz w:val="20"/>
        </w:rPr>
        <w:t xml:space="preserve"> disp</w:t>
      </w:r>
      <w:r w:rsidR="00EF5DD6">
        <w:rPr>
          <w:i/>
          <w:sz w:val="20"/>
        </w:rPr>
        <w:t>o</w:t>
      </w:r>
      <w:r w:rsidR="00EF5DD6">
        <w:rPr>
          <w:i/>
          <w:sz w:val="20"/>
        </w:rPr>
        <w:t>sitions and a</w:t>
      </w:r>
      <w:r w:rsidR="00EF5DD6">
        <w:rPr>
          <w:i/>
          <w:sz w:val="20"/>
        </w:rPr>
        <w:t>c</w:t>
      </w:r>
      <w:r w:rsidR="00D14DF3">
        <w:rPr>
          <w:i/>
          <w:sz w:val="20"/>
        </w:rPr>
        <w:t>tions, all without</w:t>
      </w:r>
      <w:r w:rsidR="00EF5DD6">
        <w:rPr>
          <w:i/>
          <w:sz w:val="20"/>
        </w:rPr>
        <w:t xml:space="preserve"> swamping the users with too much data. A survey of associated topics like causal modeling and </w:t>
      </w:r>
      <w:r w:rsidR="00F45258">
        <w:rPr>
          <w:i/>
          <w:sz w:val="20"/>
        </w:rPr>
        <w:t>behavioral science insights</w:t>
      </w:r>
      <w:r w:rsidR="00EF5DD6">
        <w:rPr>
          <w:i/>
          <w:sz w:val="20"/>
        </w:rPr>
        <w:t xml:space="preserve"> will also be presented along with analysis as to their co</w:t>
      </w:r>
      <w:r w:rsidR="00EF5DD6">
        <w:rPr>
          <w:i/>
          <w:sz w:val="20"/>
        </w:rPr>
        <w:t>n</w:t>
      </w:r>
      <w:r w:rsidR="00EF5DD6">
        <w:rPr>
          <w:i/>
          <w:sz w:val="20"/>
        </w:rPr>
        <w:t xml:space="preserve">tribution to better </w:t>
      </w:r>
      <w:r w:rsidR="00D14DF3">
        <w:rPr>
          <w:i/>
          <w:sz w:val="20"/>
        </w:rPr>
        <w:t>exploitability</w:t>
      </w:r>
      <w:r w:rsidR="00EF5DD6">
        <w:rPr>
          <w:i/>
          <w:sz w:val="20"/>
        </w:rPr>
        <w:t xml:space="preserve"> of the computer-generated insights. The paper concludes with re</w:t>
      </w:r>
      <w:r w:rsidR="00EF5DD6">
        <w:rPr>
          <w:i/>
          <w:sz w:val="20"/>
        </w:rPr>
        <w:t>c</w:t>
      </w:r>
      <w:r w:rsidR="00EF5DD6">
        <w:rPr>
          <w:i/>
          <w:sz w:val="20"/>
        </w:rPr>
        <w:t>ommended approaches for studying, evaluating and implementing the most promising techniques and technologies</w:t>
      </w:r>
      <w:r w:rsidR="00D26A4D">
        <w:rPr>
          <w:i/>
          <w:sz w:val="20"/>
        </w:rPr>
        <w:t>.</w:t>
      </w:r>
    </w:p>
    <w:p w:rsidR="00616AA4" w:rsidRDefault="00616AA4" w:rsidP="00C411C8">
      <w:pPr>
        <w:ind w:left="1440" w:right="1440"/>
        <w:rPr>
          <w:i/>
          <w:sz w:val="20"/>
        </w:rPr>
        <w:sectPr w:rsidR="00616AA4" w:rsidSect="002515CE">
          <w:footerReference w:type="default" r:id="rId8"/>
          <w:pgSz w:w="12240" w:h="15840"/>
          <w:pgMar w:top="1440" w:right="1440" w:bottom="1440" w:left="1440" w:header="720" w:footer="404" w:gutter="0"/>
          <w:cols w:space="720"/>
          <w:docGrid w:linePitch="360"/>
        </w:sectPr>
      </w:pPr>
    </w:p>
    <w:p w:rsidR="00616AA4" w:rsidRDefault="00616AA4" w:rsidP="00BC6E1F">
      <w:pPr>
        <w:ind w:left="1440" w:right="1440"/>
        <w:rPr>
          <w:i/>
          <w:sz w:val="20"/>
        </w:rPr>
      </w:pPr>
    </w:p>
    <w:p w:rsidR="00616AA4" w:rsidRPr="009D7463" w:rsidRDefault="00616AA4" w:rsidP="009D7463">
      <w:pPr>
        <w:pStyle w:val="Heading1"/>
        <w:jc w:val="center"/>
        <w:rPr>
          <w:rFonts w:ascii="Garamond" w:hAnsi="Garamond"/>
          <w:sz w:val="24"/>
          <w:szCs w:val="24"/>
        </w:rPr>
      </w:pPr>
      <w:r w:rsidRPr="009D7463">
        <w:rPr>
          <w:rFonts w:ascii="Garamond" w:hAnsi="Garamond"/>
          <w:sz w:val="24"/>
          <w:szCs w:val="24"/>
        </w:rPr>
        <w:t>A</w:t>
      </w:r>
      <w:r w:rsidR="009D7463">
        <w:rPr>
          <w:rFonts w:ascii="Garamond" w:hAnsi="Garamond"/>
          <w:sz w:val="24"/>
          <w:szCs w:val="24"/>
        </w:rPr>
        <w:t>bout</w:t>
      </w:r>
      <w:r w:rsidRPr="009D7463">
        <w:rPr>
          <w:rFonts w:ascii="Garamond" w:hAnsi="Garamond"/>
          <w:sz w:val="24"/>
          <w:szCs w:val="24"/>
        </w:rPr>
        <w:t xml:space="preserve"> T</w:t>
      </w:r>
      <w:r w:rsidR="009D7463">
        <w:rPr>
          <w:rFonts w:ascii="Garamond" w:hAnsi="Garamond"/>
          <w:sz w:val="24"/>
          <w:szCs w:val="24"/>
        </w:rPr>
        <w:t>he</w:t>
      </w:r>
      <w:r w:rsidRPr="009D7463">
        <w:rPr>
          <w:rFonts w:ascii="Garamond" w:hAnsi="Garamond"/>
          <w:sz w:val="24"/>
          <w:szCs w:val="24"/>
        </w:rPr>
        <w:t xml:space="preserve"> A</w:t>
      </w:r>
      <w:r w:rsidR="009D7463">
        <w:rPr>
          <w:rFonts w:ascii="Garamond" w:hAnsi="Garamond"/>
          <w:sz w:val="24"/>
          <w:szCs w:val="24"/>
        </w:rPr>
        <w:t>uthors</w:t>
      </w: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p>
    <w:p w:rsidR="00616AA4" w:rsidRDefault="00616AA4" w:rsidP="00BC6E1F">
      <w:pPr>
        <w:ind w:left="1440" w:right="1440"/>
        <w:rPr>
          <w:i/>
          <w:sz w:val="20"/>
        </w:rPr>
        <w:sectPr w:rsidR="00616AA4" w:rsidSect="007A7B26">
          <w:pgSz w:w="12240" w:h="15840"/>
          <w:pgMar w:top="1440" w:right="1440" w:bottom="1440" w:left="1440" w:header="720" w:footer="404" w:gutter="0"/>
          <w:cols w:space="720"/>
          <w:docGrid w:linePitch="360"/>
        </w:sectPr>
      </w:pPr>
    </w:p>
    <w:p w:rsidR="00BC6E1F" w:rsidRDefault="00F07936" w:rsidP="00311155">
      <w:pPr>
        <w:pStyle w:val="GAPTMA-Head"/>
        <w:spacing w:before="0"/>
      </w:pPr>
      <w:r w:rsidRPr="00C3700F">
        <w:lastRenderedPageBreak/>
        <w:t>Introduction</w:t>
      </w:r>
    </w:p>
    <w:p w:rsidR="00821BC3" w:rsidRDefault="00C3700F" w:rsidP="00187AAC">
      <w:r>
        <w:t xml:space="preserve">This paper is an analysis of the current state </w:t>
      </w:r>
      <w:r w:rsidR="00900829">
        <w:t xml:space="preserve">of </w:t>
      </w:r>
      <w:r w:rsidR="00EC0395">
        <w:t>information-transfer</w:t>
      </w:r>
      <w:r>
        <w:t xml:space="preserve"> procedures used to convey the insights gleaned from data colle</w:t>
      </w:r>
      <w:r>
        <w:t>c</w:t>
      </w:r>
      <w:r>
        <w:t>tion, analysi</w:t>
      </w:r>
      <w:r w:rsidR="00900829">
        <w:t>s and simulation of battlespaces</w:t>
      </w:r>
      <w:r w:rsidR="00C07D05">
        <w:t>. Both real and simulated battlespaces include all</w:t>
      </w:r>
      <w:r w:rsidR="00900829">
        <w:t xml:space="preserve"> the personnel </w:t>
      </w:r>
      <w:r w:rsidR="009A3053">
        <w:t>en</w:t>
      </w:r>
      <w:r w:rsidR="00275755">
        <w:t>gaged:</w:t>
      </w:r>
      <w:r w:rsidR="009A3053">
        <w:t xml:space="preserve"> </w:t>
      </w:r>
      <w:r w:rsidR="00900829">
        <w:t>both combatant</w:t>
      </w:r>
      <w:r w:rsidR="00EC0395">
        <w:t>s</w:t>
      </w:r>
      <w:r w:rsidR="00900829">
        <w:t xml:space="preserve"> and non-combatant</w:t>
      </w:r>
      <w:r w:rsidR="00EC0395">
        <w:t>s</w:t>
      </w:r>
      <w:r>
        <w:t>.</w:t>
      </w:r>
      <w:r w:rsidR="00311155">
        <w:t xml:space="preserve"> </w:t>
      </w:r>
      <w:r w:rsidR="00900829">
        <w:t>The</w:t>
      </w:r>
      <w:r>
        <w:t xml:space="preserve"> focus</w:t>
      </w:r>
      <w:r w:rsidR="00C07D05">
        <w:t xml:space="preserve"> here</w:t>
      </w:r>
      <w:r w:rsidR="00900829">
        <w:t xml:space="preserve"> is</w:t>
      </w:r>
      <w:r>
        <w:t xml:space="preserve"> on the require</w:t>
      </w:r>
      <w:r w:rsidR="00042B29">
        <w:t>ments</w:t>
      </w:r>
      <w:r>
        <w:t xml:space="preserve"> and challenges flowing from the creation of immense data sets </w:t>
      </w:r>
      <w:r w:rsidR="00275755">
        <w:t>generated by</w:t>
      </w:r>
      <w:r>
        <w:t xml:space="preserve"> large-scale computer-enable simulations, but the lessons learned and the technologies di</w:t>
      </w:r>
      <w:r>
        <w:t>s</w:t>
      </w:r>
      <w:r>
        <w:t>cussed are obviously applicable to analog sit</w:t>
      </w:r>
      <w:r>
        <w:t>u</w:t>
      </w:r>
      <w:r>
        <w:t>ations in other contexts</w:t>
      </w:r>
      <w:r w:rsidR="00900829">
        <w:t xml:space="preserve">, </w:t>
      </w:r>
      <w:r w:rsidR="00900829" w:rsidRPr="00900829">
        <w:rPr>
          <w:i/>
        </w:rPr>
        <w:t>e.g.</w:t>
      </w:r>
      <w:r w:rsidR="00900829">
        <w:t xml:space="preserve"> </w:t>
      </w:r>
      <w:r w:rsidR="00275755">
        <w:t>active</w:t>
      </w:r>
      <w:r w:rsidR="00900829">
        <w:t xml:space="preserve"> battlespace</w:t>
      </w:r>
      <w:r w:rsidR="00033708">
        <w:t xml:space="preserve">s and </w:t>
      </w:r>
      <w:r w:rsidR="00F45CA0">
        <w:t xml:space="preserve">live </w:t>
      </w:r>
      <w:r w:rsidR="00033708">
        <w:t>combat</w:t>
      </w:r>
      <w:r w:rsidR="00900829">
        <w:t xml:space="preserve"> situation awareness</w:t>
      </w:r>
      <w:r>
        <w:t>.</w:t>
      </w:r>
      <w:r w:rsidR="00311155">
        <w:t xml:space="preserve"> </w:t>
      </w:r>
      <w:r w:rsidR="00900829" w:rsidRPr="00900829">
        <w:t>The</w:t>
      </w:r>
      <w:r w:rsidR="00900829">
        <w:t xml:space="preserve"> a</w:t>
      </w:r>
      <w:r w:rsidR="00900829">
        <w:t>u</w:t>
      </w:r>
      <w:r w:rsidR="00900829">
        <w:t>thors</w:t>
      </w:r>
      <w:r w:rsidR="00900829" w:rsidRPr="00900829">
        <w:t xml:space="preserve"> identify, characterize and analyze the problems of effectively visualizing battlespace data and </w:t>
      </w:r>
      <w:r w:rsidR="00821BC3">
        <w:t xml:space="preserve">discuss </w:t>
      </w:r>
      <w:r w:rsidR="00900829" w:rsidRPr="00900829">
        <w:t xml:space="preserve">those problems’ amenability to emerging techniques and technologies. </w:t>
      </w:r>
    </w:p>
    <w:p w:rsidR="00821BC3" w:rsidRDefault="00821BC3" w:rsidP="00187AAC"/>
    <w:p w:rsidR="00821BC3" w:rsidRDefault="00900829" w:rsidP="00187AAC">
      <w:r w:rsidRPr="00900829">
        <w:t xml:space="preserve">Battlespace simulations are traditionally </w:t>
      </w:r>
      <w:r w:rsidR="00033708">
        <w:t>re</w:t>
      </w:r>
      <w:r w:rsidR="00033708">
        <w:t>c</w:t>
      </w:r>
      <w:r w:rsidR="00033708">
        <w:t>ognized</w:t>
      </w:r>
      <w:r w:rsidRPr="00900829">
        <w:t xml:space="preserve"> as tools that can be used to provide training, analysis</w:t>
      </w:r>
      <w:r w:rsidR="00033708">
        <w:t>,</w:t>
      </w:r>
      <w:r w:rsidRPr="00900829">
        <w:t xml:space="preserve"> and evaluation, but they have also recently been </w:t>
      </w:r>
      <w:r w:rsidR="00033708">
        <w:t>proposed</w:t>
      </w:r>
      <w:r w:rsidRPr="00900829">
        <w:t xml:space="preserve"> as having a potential for “look-ahead” capabilities to su</w:t>
      </w:r>
      <w:r w:rsidRPr="00900829">
        <w:t>p</w:t>
      </w:r>
      <w:r w:rsidRPr="00900829">
        <w:t>port situation awareness. With mission su</w:t>
      </w:r>
      <w:r w:rsidRPr="00900829">
        <w:t>c</w:t>
      </w:r>
      <w:r w:rsidRPr="00900829">
        <w:t xml:space="preserve">cess and personnel lives at stake, the pressures on the military leadership are intense, so this </w:t>
      </w:r>
      <w:r w:rsidR="00F45CA0">
        <w:t>predictive use</w:t>
      </w:r>
      <w:r w:rsidRPr="00900829">
        <w:t xml:space="preserve"> is vital</w:t>
      </w:r>
      <w:r w:rsidR="00F45CA0">
        <w:t>, but</w:t>
      </w:r>
      <w:r w:rsidRPr="00900829">
        <w:t xml:space="preserve"> fraught with pote</w:t>
      </w:r>
      <w:r w:rsidRPr="00900829">
        <w:t>n</w:t>
      </w:r>
      <w:r w:rsidRPr="00900829">
        <w:t>tial break-downs in the computer/human i</w:t>
      </w:r>
      <w:r w:rsidRPr="00900829">
        <w:t>n</w:t>
      </w:r>
      <w:r w:rsidRPr="00900829">
        <w:t>terface.</w:t>
      </w:r>
      <w:r w:rsidR="00311155">
        <w:t xml:space="preserve"> </w:t>
      </w:r>
      <w:r w:rsidRPr="00900829">
        <w:t>As the abilities of</w:t>
      </w:r>
      <w:r w:rsidR="00F45CA0">
        <w:t xml:space="preserve"> simulation</w:t>
      </w:r>
      <w:r w:rsidRPr="00900829">
        <w:t xml:space="preserve"> systems to reliably predict future conditions improve, this use is expected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38267A" w:rsidRDefault="00187AAC" w:rsidP="00187AAC">
      <w:r>
        <w:t xml:space="preserve">The paper </w:t>
      </w:r>
      <w:r w:rsidR="007F2C66">
        <w:t>continues with a</w:t>
      </w:r>
      <w:r>
        <w:t xml:space="preserve"> section </w:t>
      </w:r>
      <w:r w:rsidR="00F45CA0">
        <w:t>setting forth</w:t>
      </w:r>
      <w:r>
        <w:t xml:space="preserve"> a description of the central issue at hand and present</w:t>
      </w:r>
      <w:r w:rsidR="00F45CA0">
        <w:t>ing</w:t>
      </w:r>
      <w:r>
        <w:t xml:space="preserve"> some historical context for some of the more vexing problems.</w:t>
      </w:r>
      <w:r w:rsidR="00033708">
        <w:t xml:space="preserve"> </w:t>
      </w:r>
      <w:r>
        <w:t>It</w:t>
      </w:r>
      <w:r w:rsidR="0038267A">
        <w:t xml:space="preserve"> will then review the impact that computer simul</w:t>
      </w:r>
      <w:r w:rsidR="0038267A">
        <w:t>a</w:t>
      </w:r>
      <w:r w:rsidR="0038267A">
        <w:t>tions have had, focusing especially on the a</w:t>
      </w:r>
      <w:r w:rsidR="0038267A">
        <w:t>u</w:t>
      </w:r>
      <w:r w:rsidR="0038267A">
        <w:lastRenderedPageBreak/>
        <w:t>thors</w:t>
      </w:r>
      <w:r w:rsidR="00275755">
        <w:t>’</w:t>
      </w:r>
      <w:r w:rsidR="0038267A">
        <w:t xml:space="preserve"> experience with large-scale </w:t>
      </w:r>
      <w:r w:rsidR="00275755">
        <w:t xml:space="preserve">military </w:t>
      </w:r>
      <w:r w:rsidR="0038267A">
        <w:t>simulations that were enabled by distributed high perfor</w:t>
      </w:r>
      <w:r w:rsidR="00F45CA0">
        <w:t>mance computing. These impl</w:t>
      </w:r>
      <w:r w:rsidR="00F45CA0">
        <w:t>e</w:t>
      </w:r>
      <w:r w:rsidR="00F45CA0">
        <w:t xml:space="preserve">mentations began in earnest </w:t>
      </w:r>
      <w:r w:rsidR="0038267A">
        <w:t>with the SF E</w:t>
      </w:r>
      <w:r w:rsidR="0038267A">
        <w:t>x</w:t>
      </w:r>
      <w:r w:rsidR="0038267A">
        <w:t>press project</w:t>
      </w:r>
      <w:r w:rsidR="00275755" w:rsidRPr="00275755">
        <w:t xml:space="preserve"> </w:t>
      </w:r>
      <w:r w:rsidR="00275755">
        <w:t>early</w:t>
      </w:r>
      <w:r w:rsidR="0038267A">
        <w:t xml:space="preserve"> in the 1990’s</w:t>
      </w:r>
      <w:r w:rsidR="00013383">
        <w:t xml:space="preserve"> (Messina, 1997a)</w:t>
      </w:r>
      <w:r w:rsidR="0038267A">
        <w:t>.</w:t>
      </w:r>
      <w:r w:rsidR="00311155">
        <w:t xml:space="preserve"> </w:t>
      </w:r>
      <w:r w:rsidR="0038267A">
        <w:t>That and follow-on initiatives have generated so much information that two m</w:t>
      </w:r>
      <w:r w:rsidR="0038267A">
        <w:t>e</w:t>
      </w:r>
      <w:r w:rsidR="0038267A">
        <w:t>ta-challenges hav</w:t>
      </w:r>
      <w:r w:rsidR="007F2C66">
        <w:t xml:space="preserve">e arisen: data management and </w:t>
      </w:r>
      <w:r w:rsidR="00F45CA0">
        <w:t xml:space="preserve">data visualization, </w:t>
      </w:r>
      <w:r w:rsidR="00F45CA0" w:rsidRPr="00F45CA0">
        <w:rPr>
          <w:i/>
        </w:rPr>
        <w:t>i.e</w:t>
      </w:r>
      <w:r w:rsidR="00F45CA0">
        <w:t xml:space="preserve">. </w:t>
      </w:r>
      <w:r w:rsidR="007F2C66">
        <w:t xml:space="preserve">effectively </w:t>
      </w:r>
      <w:r w:rsidR="0038267A">
        <w:t>recogni</w:t>
      </w:r>
      <w:r w:rsidR="0038267A">
        <w:t>z</w:t>
      </w:r>
      <w:r w:rsidR="0038267A">
        <w:t xml:space="preserve">ing and </w:t>
      </w:r>
      <w:r w:rsidR="0018299B">
        <w:t>conveying</w:t>
      </w:r>
      <w:r w:rsidR="0018299B" w:rsidRPr="0018299B">
        <w:t xml:space="preserve"> </w:t>
      </w:r>
      <w:r w:rsidR="0018299B">
        <w:t>the insights from that data to the DoD consumers</w:t>
      </w:r>
      <w:r w:rsidR="0038267A">
        <w:t xml:space="preserve">.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w:t>
      </w:r>
      <w:r w:rsidR="00311155">
        <w:t xml:space="preserve"> </w:t>
      </w:r>
      <w:r w:rsidR="00467B3E">
        <w:t xml:space="preserve">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187AAC" w:rsidRDefault="0038267A" w:rsidP="00187AAC">
      <w:r>
        <w:t xml:space="preserve"> </w:t>
      </w:r>
      <w:r w:rsidR="00467B3E">
        <w:t xml:space="preserve">In addition to these observed and </w:t>
      </w:r>
      <w:r w:rsidR="00F45CA0">
        <w:t>named</w:t>
      </w:r>
      <w:r w:rsidR="00467B3E">
        <w:t xml:space="preserve"> needs</w:t>
      </w:r>
      <w:r w:rsidR="006D0570">
        <w:t>,</w:t>
      </w:r>
      <w:r w:rsidR="00467B3E">
        <w:t xml:space="preserve"> the </w:t>
      </w:r>
      <w:r w:rsidR="00F45CA0">
        <w:t>paper</w:t>
      </w:r>
      <w:r w:rsidR="00467B3E">
        <w:t xml:space="preserve"> will raise and discuss several new op</w:t>
      </w:r>
      <w:r w:rsidR="00F45CA0">
        <w:t>portunities to aid the war</w:t>
      </w:r>
      <w:r w:rsidR="00467B3E">
        <w:t>fighters to better utilize the data that is available.</w:t>
      </w:r>
      <w:r w:rsidR="00311155">
        <w:t xml:space="preserve"> </w:t>
      </w:r>
      <w:r w:rsidR="00467B3E">
        <w:t xml:space="preserve">The manner in which data is presented is </w:t>
      </w:r>
      <w:r w:rsidR="00D92475">
        <w:t xml:space="preserve">a major thrust of this paper. This field is </w:t>
      </w:r>
      <w:r>
        <w:t>usually r</w:t>
      </w:r>
      <w:r>
        <w:t>e</w:t>
      </w:r>
      <w:r>
        <w:t>ferred to as data visualization.</w:t>
      </w:r>
      <w:r w:rsidR="00A04D0F">
        <w:t xml:space="preserve"> </w:t>
      </w:r>
      <w:r w:rsidR="00EC55AF">
        <w:t xml:space="preserve">There is extant a term: </w:t>
      </w:r>
      <w:r w:rsidR="00A04D0F">
        <w:t>“visulation</w:t>
      </w:r>
      <w:r w:rsidR="00EC55AF">
        <w:t>,</w:t>
      </w:r>
      <w:r w:rsidR="00A04D0F">
        <w:t>” which was coined to re</w:t>
      </w:r>
      <w:r w:rsidR="00A04D0F">
        <w:t>p</w:t>
      </w:r>
      <w:r w:rsidR="00A04D0F">
        <w:t>resent the combining of the simulation and data visualization functions.</w:t>
      </w:r>
      <w:r w:rsidR="00311155">
        <w:t xml:space="preserve"> </w:t>
      </w:r>
      <w:r w:rsidR="00EC55AF">
        <w:t xml:space="preserve">To accent the utility of visualization for both </w:t>
      </w:r>
      <w:r w:rsidR="00D53F26">
        <w:t>simulation and live combat, this</w:t>
      </w:r>
      <w:r w:rsidR="00EC55AF">
        <w:t xml:space="preserve"> term</w:t>
      </w:r>
      <w:r w:rsidR="00D53F26">
        <w:t xml:space="preserve"> </w:t>
      </w:r>
      <w:r w:rsidR="00EC55AF">
        <w:t xml:space="preserve">will not </w:t>
      </w:r>
      <w:r w:rsidR="00F45CA0">
        <w:t xml:space="preserve">be </w:t>
      </w:r>
      <w:r w:rsidR="008E1386">
        <w:t>emphasized</w:t>
      </w:r>
      <w:r w:rsidR="00EC55AF">
        <w:t>.</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 xml:space="preserve">ahead, the most promising </w:t>
      </w:r>
      <w:r>
        <w:lastRenderedPageBreak/>
        <w:t>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w:t>
      </w:r>
      <w:r w:rsidR="00F45CA0">
        <w:t>ve</w:t>
      </w:r>
      <w:r>
        <w:t xml:space="preserve"> been the question</w:t>
      </w:r>
      <w:r w:rsidR="00F45CA0">
        <w:t>s</w:t>
      </w:r>
      <w:r>
        <w:t xml:space="preserve"> as to whether or not these efforts have been germane, practicable, and efficacious.</w:t>
      </w:r>
      <w:r w:rsidR="00311155">
        <w:t xml:space="preserve"> </w:t>
      </w:r>
      <w:r>
        <w:t>Clearly a major issue is whether the lessons and skills sought to be imparted are effectively inculca</w:t>
      </w:r>
      <w:r>
        <w:t>t</w:t>
      </w:r>
      <w:r>
        <w:t>ed in the learner.</w:t>
      </w:r>
      <w:r w:rsidR="00311155">
        <w:t xml:space="preserve"> </w:t>
      </w:r>
      <w:r>
        <w:t xml:space="preserve">Computation science has delivered an entirely new set of tools for </w:t>
      </w:r>
      <w:r w:rsidR="00D53F26">
        <w:t>the preparation, capability-transfer, and</w:t>
      </w:r>
      <w:r>
        <w:t xml:space="preserve"> </w:t>
      </w:r>
      <w:r w:rsidR="00D53F26">
        <w:t xml:space="preserve">training evaluation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 xml:space="preserve">and communications (Davis, 2005) to enable </w:t>
      </w:r>
      <w:r w:rsidR="00D230D5">
        <w:t>expanded and enhanced</w:t>
      </w:r>
      <w:r>
        <w:t xml:space="preserve"> mo</w:t>
      </w:r>
      <w:r>
        <w:t>d</w:t>
      </w:r>
      <w:r>
        <w:t>eling and simula</w:t>
      </w:r>
      <w:r w:rsidRPr="008D285A">
        <w:t xml:space="preserve">tions capabilities.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9"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0"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00BE3EF3" w:rsidRPr="008D285A">
        <w:rPr>
          <w:color w:val="auto"/>
        </w:rPr>
        <w:fldChar w:fldCharType="begin"/>
      </w:r>
      <w:r w:rsidRPr="008D285A">
        <w:rPr>
          <w:color w:val="auto"/>
        </w:rPr>
        <w:instrText xml:space="preserve"> SEQ Figure \* ARABIC </w:instrText>
      </w:r>
      <w:r w:rsidR="00BE3EF3" w:rsidRPr="008D285A">
        <w:rPr>
          <w:color w:val="auto"/>
        </w:rPr>
        <w:fldChar w:fldCharType="separate"/>
      </w:r>
      <w:r w:rsidR="009D7463">
        <w:rPr>
          <w:noProof/>
          <w:color w:val="auto"/>
        </w:rPr>
        <w:t>1</w:t>
      </w:r>
      <w:r w:rsidR="00BE3EF3"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D230D5" w:rsidP="00E205C3">
      <w:r>
        <w:t>In a</w:t>
      </w:r>
      <w:r w:rsidR="009A78BC">
        <w:t xml:space="preserve"> </w:t>
      </w:r>
      <w:r w:rsidR="00C36667">
        <w:t xml:space="preserve">live operational setting, there are </w:t>
      </w:r>
      <w:r w:rsidR="009A78BC">
        <w:t>anal</w:t>
      </w:r>
      <w:r w:rsidR="009A78BC">
        <w:t>o</w:t>
      </w:r>
      <w:r w:rsidR="009A78BC">
        <w:t>gous issue</w:t>
      </w:r>
      <w:r w:rsidR="00C36667">
        <w:t>s</w:t>
      </w:r>
      <w:r w:rsidR="009A78BC">
        <w:t xml:space="preserve">: How does a person effectively communicate intelligence, </w:t>
      </w:r>
      <w:r w:rsidR="00C36667">
        <w:t xml:space="preserve">give </w:t>
      </w:r>
      <w:r w:rsidR="009A78BC">
        <w:t xml:space="preserve">direction or </w:t>
      </w:r>
      <w:r w:rsidR="00C36667">
        <w:t xml:space="preserve">conduct </w:t>
      </w:r>
      <w:r w:rsidR="009A78BC">
        <w:t xml:space="preserve">analysis </w:t>
      </w:r>
      <w:r w:rsidR="00C36667">
        <w:t>within</w:t>
      </w:r>
      <w:r w:rsidR="009A78BC">
        <w:t xml:space="preserve"> the chain of co</w:t>
      </w:r>
      <w:r w:rsidR="009A78BC">
        <w:t>m</w:t>
      </w:r>
      <w:r w:rsidR="009A78BC">
        <w:t>mand?</w:t>
      </w:r>
      <w:r w:rsidR="00311155">
        <w:t xml:space="preserve"> </w:t>
      </w:r>
      <w:r w:rsidR="009A78BC">
        <w:t>A historical example of this perplexing issue is taken from the middle of World War II.</w:t>
      </w:r>
      <w:r w:rsidR="00311155">
        <w:t xml:space="preserve"> </w:t>
      </w:r>
      <w:r w:rsidR="009A78BC">
        <w:t xml:space="preserve">In early June of 1944, Gen. Eisenhower was faced with an almost </w:t>
      </w:r>
      <w:r w:rsidR="006D0570">
        <w:t>paralyzingly</w:t>
      </w:r>
      <w:r w:rsidR="009A78BC">
        <w:t xml:space="preserve"> critical decision: When to launce the invasion of France.</w:t>
      </w:r>
      <w:r w:rsidR="00311155">
        <w:t xml:space="preserve"> </w:t>
      </w:r>
      <w:r w:rsidR="00C36667">
        <w:t>Two</w:t>
      </w:r>
      <w:r w:rsidR="009A78BC">
        <w:t xml:space="preserve"> major pa</w:t>
      </w:r>
      <w:r w:rsidR="00C36667">
        <w:t>rameters were</w:t>
      </w:r>
      <w:r w:rsidR="009A78BC">
        <w:t xml:space="preserve"> weather and sea-state (Logan, 2013).</w:t>
      </w:r>
      <w:r w:rsidR="00311155">
        <w:t xml:space="preserve"> </w:t>
      </w:r>
      <w:r w:rsidR="00C36667">
        <w:t>Ike</w:t>
      </w:r>
      <w:r w:rsidR="009A78BC">
        <w:t xml:space="preserve"> had to rely on his chief weather forecaster, Group Captain</w:t>
      </w:r>
      <w:r w:rsidR="00E64E27">
        <w:t xml:space="preserve"> James M.</w:t>
      </w:r>
      <w:r w:rsidR="009A78BC">
        <w:t xml:space="preserve"> Stagg, to brief him on this issue.</w:t>
      </w:r>
      <w:r w:rsidR="00311155">
        <w:t xml:space="preserve"> </w:t>
      </w:r>
      <w:r w:rsidR="00E64E27">
        <w:t>Group Captain Stagg had been in meteorol</w:t>
      </w:r>
      <w:r w:rsidR="00E64E27">
        <w:t>o</w:t>
      </w:r>
      <w:r w:rsidR="00C36667">
        <w:t>gy for two decades and h</w:t>
      </w:r>
      <w:r w:rsidR="00E64E27">
        <w:t xml:space="preserve">e faced a critical, but </w:t>
      </w:r>
      <w:r w:rsidR="00E64E27">
        <w:lastRenderedPageBreak/>
        <w:t>not uncommon, conundrum: How to distill twenty years of technical experience down to usable nugget so that a commander under stress could make a rational, or preferably o</w:t>
      </w:r>
      <w:r w:rsidR="00E64E27">
        <w:t>p</w:t>
      </w:r>
      <w:r w:rsidR="00E64E27">
        <w:t>timal, choice.</w:t>
      </w:r>
      <w:r w:rsidR="00311155">
        <w:t xml:space="preserve"> </w:t>
      </w:r>
      <w:r w:rsidR="00003426">
        <w:t>Thousands, if not tens of tho</w:t>
      </w:r>
      <w:r w:rsidR="00003426">
        <w:t>u</w:t>
      </w:r>
      <w:r w:rsidR="00003426">
        <w:t>sands of lives depended on making the best decision (D-Day Museum, 2014).</w:t>
      </w:r>
      <w:r w:rsidR="00E64E27">
        <w:t xml:space="preserve"> The</w:t>
      </w:r>
      <w:r w:rsidR="00003426">
        <w:t xml:space="preserve"> met</w:t>
      </w:r>
      <w:r w:rsidR="00003426">
        <w:t>e</w:t>
      </w:r>
      <w:r w:rsidR="00003426">
        <w:t>orological</w:t>
      </w:r>
      <w:r w:rsidR="00E64E27">
        <w:t xml:space="preserve"> analysis itself was</w:t>
      </w:r>
      <w:r w:rsidR="00003426">
        <w:t xml:space="preserve"> essentially</w:t>
      </w:r>
      <w:r w:rsidR="00E64E27">
        <w:t xml:space="preserve"> st</w:t>
      </w:r>
      <w:r w:rsidR="00E64E27">
        <w:t>o</w:t>
      </w:r>
      <w:r w:rsidR="00E64E27">
        <w:t>chastic;</w:t>
      </w:r>
      <w:r w:rsidR="00EB1859">
        <w:t xml:space="preserve"> the forecast based on a certain amount of intui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w:t>
      </w:r>
      <w:r w:rsidR="00E64E27">
        <w:t>e</w:t>
      </w:r>
      <w:r w:rsidR="00E64E27">
        <w:t xml:space="preserve">grees of </w:t>
      </w:r>
      <w:r w:rsidR="00204B6B">
        <w:t>un</w:t>
      </w:r>
      <w:r w:rsidR="00E64E27">
        <w:t>certainty.</w:t>
      </w:r>
      <w:r w:rsidR="00311155">
        <w:t xml:space="preserve"> </w:t>
      </w:r>
      <w:r w:rsidR="00E64E27">
        <w:t>How many words, charts and maps were sufficient to enlighten the d</w:t>
      </w:r>
      <w:r w:rsidR="00E64E27">
        <w:t>e</w:t>
      </w:r>
      <w:r w:rsidR="00E64E27">
        <w:t>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w:t>
      </w:r>
      <w:r w:rsidR="00311155">
        <w:t xml:space="preserve"> </w:t>
      </w:r>
      <w:r>
        <w:t>Few would argue that the</w:t>
      </w:r>
      <w:r w:rsidR="00235188">
        <w:t>se</w:t>
      </w:r>
      <w:r>
        <w:t xml:space="preserve"> issue</w:t>
      </w:r>
      <w:r w:rsidR="00235188">
        <w:t>s do</w:t>
      </w:r>
      <w:r>
        <w:t xml:space="preserve"> not remain open and hotly debated: “How does a co</w:t>
      </w:r>
      <w:r>
        <w:t>m</w:t>
      </w:r>
      <w:r>
        <w:t>mander direct his subordinates without co</w:t>
      </w:r>
      <w:r>
        <w:t>n</w:t>
      </w:r>
      <w:r>
        <w:t>fusing them or sapping their initiative?”.</w:t>
      </w:r>
    </w:p>
    <w:p w:rsidR="0009000A" w:rsidRDefault="0009000A" w:rsidP="00E205C3"/>
    <w:p w:rsidR="00AF71D0" w:rsidRDefault="0009000A" w:rsidP="00E205C3">
      <w:r>
        <w:t xml:space="preserve">Given those operational issues, </w:t>
      </w:r>
      <w:r w:rsidR="009747D3">
        <w:t>there is</w:t>
      </w:r>
      <w:r w:rsidR="00D230D5">
        <w:t xml:space="preserve"> also</w:t>
      </w:r>
      <w:r w:rsidR="009747D3">
        <w:t xml:space="preserve"> a</w:t>
      </w:r>
      <w:r w:rsidR="00EB1859">
        <w:t xml:space="preserve"> need to con</w:t>
      </w:r>
      <w:r w:rsidR="009747D3">
        <w:t>sider how</w:t>
      </w:r>
      <w:r w:rsidR="00EB1859">
        <w:t xml:space="preserve"> computer-generated battle </w:t>
      </w:r>
      <w:r w:rsidR="009747D3">
        <w:t>data are</w:t>
      </w:r>
      <w:r w:rsidR="00EB1859">
        <w:t xml:space="preserve"> communicated to the partic</w:t>
      </w:r>
      <w:r w:rsidR="00EB1859">
        <w:t>i</w:t>
      </w:r>
      <w:r w:rsidR="00EB1859">
        <w:t xml:space="preserve">pants in an exercise and how the insights from this evolution </w:t>
      </w:r>
      <w:r w:rsidR="00AF71D0">
        <w:t>could be</w:t>
      </w:r>
      <w:r w:rsidR="00EB1859">
        <w:t xml:space="preserve"> most effectively co</w:t>
      </w:r>
      <w:r w:rsidR="00EB1859">
        <w:t>m</w:t>
      </w:r>
      <w:r w:rsidR="00EB1859">
        <w:t>municated to the analysts.</w:t>
      </w:r>
      <w:r w:rsidR="00311155">
        <w:t xml:space="preserve"> </w:t>
      </w:r>
    </w:p>
    <w:p w:rsidR="00AF71D0" w:rsidRDefault="00AF71D0" w:rsidP="00E205C3"/>
    <w:p w:rsidR="00913BEF" w:rsidRDefault="009747D3" w:rsidP="00E205C3">
      <w:r>
        <w:t>T</w:t>
      </w:r>
      <w:r w:rsidR="00DB5850">
        <w:t xml:space="preserve">he earliest computer-generated simulations were </w:t>
      </w:r>
      <w:r w:rsidR="006916A2">
        <w:t>often</w:t>
      </w:r>
      <w:r w:rsidR="00DB5850">
        <w:t xml:space="preserve"> single plat</w:t>
      </w:r>
      <w:r>
        <w:t xml:space="preserve">form/vehicle simulators, </w:t>
      </w:r>
      <w:r w:rsidRPr="006916A2">
        <w:rPr>
          <w:i/>
        </w:rPr>
        <w:t>e.g</w:t>
      </w:r>
      <w:r>
        <w:t>.</w:t>
      </w:r>
      <w:r w:rsidR="006916A2">
        <w:t xml:space="preserve"> cockpit t</w:t>
      </w:r>
      <w:r>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1"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2"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lastRenderedPageBreak/>
        <w:t xml:space="preserve">Figure </w:t>
      </w:r>
      <w:r w:rsidR="00BE3EF3" w:rsidRPr="00913BEF">
        <w:rPr>
          <w:color w:val="auto"/>
        </w:rPr>
        <w:fldChar w:fldCharType="begin"/>
      </w:r>
      <w:r w:rsidRPr="00913BEF">
        <w:rPr>
          <w:color w:val="auto"/>
        </w:rPr>
        <w:instrText xml:space="preserve"> SEQ Figure \* ARABIC </w:instrText>
      </w:r>
      <w:r w:rsidR="00BE3EF3" w:rsidRPr="00913BEF">
        <w:rPr>
          <w:color w:val="auto"/>
        </w:rPr>
        <w:fldChar w:fldCharType="separate"/>
      </w:r>
      <w:r w:rsidR="009D7463">
        <w:rPr>
          <w:noProof/>
          <w:color w:val="auto"/>
        </w:rPr>
        <w:t>2</w:t>
      </w:r>
      <w:r w:rsidR="00BE3EF3"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Because of this trainee isolation, analyses of participant performance and training achievements were</w:t>
      </w:r>
      <w:r w:rsidR="00DB5850">
        <w:t xml:space="preserve"> not too diffic</w:t>
      </w:r>
      <w:r>
        <w:t>ult.</w:t>
      </w:r>
      <w:r w:rsidR="00311155">
        <w:t xml:space="preserve"> </w:t>
      </w:r>
      <w:r>
        <w:t>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t xml:space="preserve">cles” together to provide interactive </w:t>
      </w:r>
      <w:r>
        <w:t xml:space="preserve">and team </w:t>
      </w:r>
      <w:r w:rsidR="00DB5850">
        <w:t>training.</w:t>
      </w:r>
      <w:r w:rsidR="00311155">
        <w:t xml:space="preserve"> </w:t>
      </w:r>
    </w:p>
    <w:p w:rsidR="009747D3" w:rsidRDefault="009747D3" w:rsidP="00E205C3"/>
    <w:p w:rsidR="0009000A" w:rsidRDefault="00A00260" w:rsidP="00E205C3">
      <w:r>
        <w:t>This led to a desire to have even more co</w:t>
      </w:r>
      <w:r>
        <w:t>n</w:t>
      </w:r>
      <w:r>
        <w:t>structive entities available via simulation (Messina, 1997</w:t>
      </w:r>
      <w:r w:rsidR="00013383">
        <w:t>b</w:t>
      </w:r>
      <w:r>
        <w:t>)</w:t>
      </w:r>
      <w:r w:rsidR="00A62073">
        <w:t>, an effort in which several of th</w:t>
      </w:r>
      <w:r w:rsidR="002F007D">
        <w:t>is paper’s authors were intimately involved</w:t>
      </w:r>
      <w:r w:rsidR="00A62073">
        <w:t>.</w:t>
      </w:r>
      <w:r w:rsidR="00311155">
        <w:t xml:space="preserve"> </w:t>
      </w:r>
      <w:r w:rsidR="00A62073">
        <w:t>Continued pressures for even more entities resulted in the further growth of simulations sizes (Gottschalk, 2010).</w:t>
      </w:r>
      <w:r w:rsidR="00311155">
        <w:t xml:space="preserve"> </w:t>
      </w:r>
      <w:r w:rsidR="00A62073">
        <w:t xml:space="preserve">These successes of </w:t>
      </w:r>
      <w:r w:rsidR="006916A2">
        <w:t>consistently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311155">
        <w:t xml:space="preserve"> </w:t>
      </w:r>
      <w:r w:rsidR="004C5808">
        <w:t>Early attempts at visua</w:t>
      </w:r>
      <w:r w:rsidR="004C5808">
        <w:t>l</w:t>
      </w:r>
      <w:r w:rsidR="004C5808">
        <w:t>izing the</w:t>
      </w:r>
      <w:r w:rsidR="002F007D">
        <w:t xml:space="preserve"> distilled simulation</w:t>
      </w:r>
      <w:r w:rsidR="004C5808">
        <w:t xml:space="preserve"> insights centered on tabularization of the data.</w:t>
      </w:r>
      <w:r w:rsidR="00311155">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3"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00BE3EF3" w:rsidRPr="00043795">
        <w:rPr>
          <w:color w:val="auto"/>
        </w:rPr>
        <w:fldChar w:fldCharType="begin"/>
      </w:r>
      <w:r w:rsidRPr="00043795">
        <w:rPr>
          <w:color w:val="auto"/>
        </w:rPr>
        <w:instrText xml:space="preserve"> SEQ Figure \* ARABIC </w:instrText>
      </w:r>
      <w:r w:rsidR="00BE3EF3" w:rsidRPr="00043795">
        <w:rPr>
          <w:color w:val="auto"/>
        </w:rPr>
        <w:fldChar w:fldCharType="separate"/>
      </w:r>
      <w:r w:rsidR="009D7463">
        <w:rPr>
          <w:noProof/>
          <w:color w:val="auto"/>
        </w:rPr>
        <w:t>3</w:t>
      </w:r>
      <w:r w:rsidR="00BE3EF3"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Experiment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w:t>
      </w:r>
      <w:r w:rsidR="00716F4E">
        <w:t>bular data in particular,</w:t>
      </w:r>
      <w:r w:rsidR="002F007D">
        <w:t xml:space="preserve"> require</w:t>
      </w:r>
      <w:r>
        <w:t xml:space="preserve"> time to co</w:t>
      </w:r>
      <w:r>
        <w:t>n</w:t>
      </w:r>
      <w:r>
        <w:t>template and analyze. This is a luxury that may be available to small-scale simulation an</w:t>
      </w:r>
      <w:r>
        <w:t>a</w:t>
      </w:r>
      <w:r>
        <w:t>lysts and to officers in non-combat enviro</w:t>
      </w:r>
      <w:r>
        <w:t>n</w:t>
      </w:r>
      <w:r w:rsidR="00D230D5">
        <w:t xml:space="preserve">ments; however, </w:t>
      </w:r>
      <w:r>
        <w:t xml:space="preserve">it </w:t>
      </w:r>
      <w:r w:rsidR="00337804">
        <w:t>presents way too much data for effective analysis of mega-city simul</w:t>
      </w:r>
      <w:r w:rsidR="00337804">
        <w:t>a</w:t>
      </w:r>
      <w:r w:rsidR="00337804">
        <w:t>tions and imposes unacceptable</w:t>
      </w:r>
      <w:r w:rsidR="00787868">
        <w:t xml:space="preserve"> burdens on</w:t>
      </w:r>
      <w:r w:rsidR="00337804">
        <w:t xml:space="preserve"> officers experiencing the stress of combat.</w:t>
      </w:r>
      <w:r w:rsidR="00311155">
        <w:t xml:space="preserve"> </w:t>
      </w:r>
      <w:r w:rsidR="00337804">
        <w:t xml:space="preserve">These hurdles to exploiting these </w:t>
      </w:r>
      <w:r w:rsidR="00D230D5">
        <w:t xml:space="preserve">computer augmented </w:t>
      </w:r>
      <w:r w:rsidR="00337804">
        <w:t>sources of data have been perso</w:t>
      </w:r>
      <w:r w:rsidR="00337804">
        <w:t>n</w:t>
      </w:r>
      <w:r w:rsidR="00337804">
        <w:t xml:space="preserve">ally </w:t>
      </w:r>
      <w:r w:rsidR="00787868">
        <w:t>experienced</w:t>
      </w:r>
      <w:r w:rsidR="00337804">
        <w:t xml:space="preserve"> by </w:t>
      </w:r>
      <w:r w:rsidR="00D230D5">
        <w:t>many in the simulation community</w:t>
      </w:r>
      <w:r w:rsidR="00337804">
        <w:t>.</w:t>
      </w:r>
      <w:r w:rsidR="00311155">
        <w:t xml:space="preserve"> </w:t>
      </w:r>
      <w:r w:rsidR="00337804">
        <w:t xml:space="preserve">While these observations are still </w:t>
      </w:r>
      <w:r w:rsidR="00337804">
        <w:lastRenderedPageBreak/>
        <w:t xml:space="preserve">anecdotal, </w:t>
      </w:r>
      <w:r w:rsidR="001D4C33">
        <w:t xml:space="preserve">they </w:t>
      </w:r>
      <w:r w:rsidR="00787868">
        <w:t>appear to be</w:t>
      </w:r>
      <w:r w:rsidR="001D4C33">
        <w:t xml:space="preserve"> so pervasive as to warrant the assertion that better visualization is mandated.</w:t>
      </w:r>
    </w:p>
    <w:p w:rsidR="009747D3" w:rsidRDefault="009747D3" w:rsidP="00E205C3"/>
    <w:p w:rsidR="001D4C33" w:rsidRDefault="001D4C33" w:rsidP="00E205C3">
      <w:r>
        <w:t>Other</w:t>
      </w:r>
      <w:r w:rsidR="00276770">
        <w:t xml:space="preserve"> discipline</w:t>
      </w:r>
      <w:r>
        <w:t>s have attempted to provide more easily comprehended alternative proje</w:t>
      </w:r>
      <w:r>
        <w:t>c</w:t>
      </w:r>
      <w:r>
        <w:t>tions of future events in a way that intuitively conveyed the range of futures considered lik</w:t>
      </w:r>
      <w:r>
        <w:t>e</w:t>
      </w:r>
      <w:r>
        <w:t>ly.</w:t>
      </w:r>
      <w:r w:rsidR="00311155">
        <w:t xml:space="preserve"> </w:t>
      </w:r>
      <w:r>
        <w:t xml:space="preserve">One of these is the </w:t>
      </w:r>
      <w:r w:rsidR="00276770">
        <w:t>creation and dissemin</w:t>
      </w:r>
      <w:r w:rsidR="00276770">
        <w:t>a</w:t>
      </w:r>
      <w:r w:rsidR="00276770">
        <w:t>tion</w:t>
      </w:r>
      <w:r>
        <w:t xml:space="preserve"> of what is colloquially referred to as </w:t>
      </w:r>
      <w:r w:rsidR="00276770">
        <w:t>m</w:t>
      </w:r>
      <w:r w:rsidR="00276770">
        <w:t>e</w:t>
      </w:r>
      <w:r w:rsidR="00276770">
        <w:t xml:space="preserve">teorological </w:t>
      </w:r>
      <w:r>
        <w:t xml:space="preserve">“spaghetti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4"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BE3EF3" w:rsidRPr="007E3611">
        <w:rPr>
          <w:color w:val="auto"/>
        </w:rPr>
        <w:fldChar w:fldCharType="begin"/>
      </w:r>
      <w:r w:rsidR="007E3611" w:rsidRPr="007E3611">
        <w:rPr>
          <w:color w:val="auto"/>
        </w:rPr>
        <w:instrText xml:space="preserve"> SEQ Figure \* ARABIC </w:instrText>
      </w:r>
      <w:r w:rsidR="00BE3EF3" w:rsidRPr="007E3611">
        <w:rPr>
          <w:color w:val="auto"/>
        </w:rPr>
        <w:fldChar w:fldCharType="separate"/>
      </w:r>
      <w:r w:rsidR="009D7463">
        <w:rPr>
          <w:noProof/>
          <w:color w:val="auto"/>
        </w:rPr>
        <w:t>4</w:t>
      </w:r>
      <w:r w:rsidR="00BE3EF3"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w:t>
      </w:r>
      <w:r w:rsidR="0002102A">
        <w:t>existence</w:t>
      </w:r>
      <w:r w:rsidR="00003426">
        <w:t xml:space="preserve"> of such pr</w:t>
      </w:r>
      <w:r w:rsidR="00003426">
        <w:t>o</w:t>
      </w:r>
      <w:r w:rsidR="00003426">
        <w:t>fessional expertise</w:t>
      </w:r>
      <w:r>
        <w:t>, consider again the Stagg/Eisenhower situation.</w:t>
      </w:r>
      <w:r w:rsidR="00311155">
        <w:t xml:space="preserve"> </w:t>
      </w:r>
      <w:r>
        <w:t xml:space="preserve">How do the </w:t>
      </w:r>
      <w:r w:rsidR="00D230D5">
        <w:t>technical experts</w:t>
      </w:r>
      <w:r>
        <w:t xml:space="preserve"> convey the subtleties</w:t>
      </w:r>
      <w:r w:rsidR="00003426">
        <w:t xml:space="preserve"> of their analyses</w:t>
      </w:r>
      <w:r>
        <w:t xml:space="preserve"> to the commander without abroga</w:t>
      </w:r>
      <w:r>
        <w:t>t</w:t>
      </w:r>
      <w:r>
        <w:t>ing the commander’s function of making the final decision?</w:t>
      </w:r>
      <w:r w:rsidR="00311155">
        <w:t xml:space="preserve"> </w:t>
      </w:r>
      <w:r w:rsidR="00003426">
        <w:t xml:space="preserve">Perhaps more importantly, how often should </w:t>
      </w:r>
      <w:r w:rsidR="007F41C7">
        <w:t>they</w:t>
      </w:r>
      <w:r w:rsidR="0002102A">
        <w:t xml:space="preserve"> fully illuminate the i</w:t>
      </w:r>
      <w:r w:rsidR="0002102A">
        <w:t>s</w:t>
      </w:r>
      <w:r w:rsidR="0002102A">
        <w:t>sues</w:t>
      </w:r>
      <w:r w:rsidR="00003426">
        <w:t>, but either do not or cannot?</w:t>
      </w:r>
    </w:p>
    <w:p w:rsidR="00EF6BB1" w:rsidRDefault="00EF6BB1" w:rsidP="00AE1C6A"/>
    <w:p w:rsidR="006F0CEF" w:rsidRDefault="007F41C7" w:rsidP="00AE1C6A">
      <w:r>
        <w:t>Another challenge is that of presenting the data in structured layers</w:t>
      </w:r>
      <w:r w:rsidR="0002102A">
        <w:t xml:space="preserve"> in a way that</w:t>
      </w:r>
      <w:r>
        <w:t xml:space="preserve"> the commanders can invoke their own </w:t>
      </w:r>
      <w:r w:rsidR="00D230D5">
        <w:t>discretion</w:t>
      </w:r>
      <w:r>
        <w:t xml:space="preserve"> as to how deeply they wish to probe the e</w:t>
      </w:r>
      <w:r>
        <w:t>x</w:t>
      </w:r>
      <w:r>
        <w:lastRenderedPageBreak/>
        <w:t>perts’ analyses.</w:t>
      </w:r>
      <w:r w:rsidR="00311155">
        <w:t xml:space="preserve"> </w:t>
      </w:r>
      <w:r>
        <w:t xml:space="preserve">Computers and hyper-text have created easy ways to present written data in </w:t>
      </w:r>
      <w:r w:rsidR="00D230D5">
        <w:t>printed</w:t>
      </w:r>
      <w:r>
        <w:t xml:space="preserve"> text with easily selected links to more in-depth data, but even this poses a new challenge: that of deciding which data to put in the original text and which to make acce</w:t>
      </w:r>
      <w:r>
        <w:t>s</w:t>
      </w:r>
      <w:r>
        <w:t>sible via hyper-text links.</w:t>
      </w:r>
      <w:r w:rsidR="00311155">
        <w:t xml:space="preserve"> </w:t>
      </w:r>
      <w:r>
        <w:t xml:space="preserve">The </w:t>
      </w:r>
      <w:r w:rsidR="00D230D5">
        <w:t xml:space="preserve">non-electronic </w:t>
      </w:r>
      <w:r>
        <w:t>analog to these issues is the traditional</w:t>
      </w:r>
      <w:r w:rsidR="00AC20E5">
        <w:t xml:space="preserve"> oral</w:t>
      </w:r>
      <w:r>
        <w:t xml:space="preserve"> briefing by staff officers followed by que</w:t>
      </w:r>
      <w:r>
        <w:t>s</w:t>
      </w:r>
      <w:r>
        <w:t>tions from the brie</w:t>
      </w:r>
      <w:r w:rsidR="006F0CEF">
        <w:t xml:space="preserve">fed senior being the drill-down. </w:t>
      </w:r>
    </w:p>
    <w:p w:rsidR="006F0CEF" w:rsidRDefault="006F0CEF" w:rsidP="00AE1C6A"/>
    <w:p w:rsidR="007F41C7" w:rsidRDefault="006F0CEF" w:rsidP="00AE1C6A">
      <w:r>
        <w:t>V</w:t>
      </w:r>
      <w:r w:rsidR="007F41C7">
        <w:t>oice tone and em</w:t>
      </w:r>
      <w:r>
        <w:t>phasis provide</w:t>
      </w:r>
      <w:r w:rsidR="007F41C7">
        <w:t xml:space="preserve"> additional ways to convey certainty, importance, and re</w:t>
      </w:r>
      <w:r w:rsidR="007F41C7">
        <w:t>l</w:t>
      </w:r>
      <w:r w:rsidR="007F41C7">
        <w:t>evance</w:t>
      </w:r>
      <w:r w:rsidR="00992D47">
        <w:t>. Text and even computer-</w:t>
      </w:r>
      <w:r w:rsidR="00AC20E5">
        <w:t>generated</w:t>
      </w:r>
      <w:r w:rsidR="00992D47">
        <w:t xml:space="preserve"> voice lack these</w:t>
      </w:r>
      <w:r w:rsidR="00992D47" w:rsidRPr="00992D47">
        <w:t xml:space="preserve"> </w:t>
      </w:r>
      <w:r w:rsidR="00992D47">
        <w:t>refinements</w:t>
      </w:r>
      <w:r w:rsidR="007F41C7">
        <w:t>.</w:t>
      </w:r>
      <w:r>
        <w:t xml:space="preserve"> When mission success and lives are at stake, every commun</w:t>
      </w:r>
      <w:r>
        <w:t>i</w:t>
      </w:r>
      <w:r>
        <w:t>cation tool becomes more vital.</w:t>
      </w:r>
    </w:p>
    <w:p w:rsidR="00EF6BB1" w:rsidRDefault="00EF6BB1" w:rsidP="00AE1C6A"/>
    <w:p w:rsidR="00F053B1" w:rsidRDefault="00992D47" w:rsidP="00AE1C6A">
      <w:r>
        <w:t xml:space="preserve">A third challenge is in representing multi-dimensional </w:t>
      </w:r>
      <w:r w:rsidR="00AC20E5">
        <w:t xml:space="preserve">data </w:t>
      </w:r>
      <w:r>
        <w:t>via electronic means.</w:t>
      </w:r>
      <w:r w:rsidR="00311155">
        <w:t xml:space="preserve"> </w:t>
      </w:r>
      <w:r>
        <w:t xml:space="preserve">While there are a number of immersive and 3-D </w:t>
      </w:r>
      <w:r w:rsidR="006F0CEF">
        <w:t>di</w:t>
      </w:r>
      <w:r w:rsidR="006F0CEF">
        <w:t>s</w:t>
      </w:r>
      <w:r w:rsidR="006F0CEF">
        <w:t xml:space="preserve">play </w:t>
      </w:r>
      <w:r>
        <w:t>techniques available in the laboratory se</w:t>
      </w:r>
      <w:r>
        <w:t>t</w:t>
      </w:r>
      <w:r>
        <w:t>ting, the vast majority of analysts and co</w:t>
      </w:r>
      <w:r>
        <w:t>m</w:t>
      </w:r>
      <w:r>
        <w:t>manders have only two-dimensional flat screens.</w:t>
      </w:r>
      <w:r w:rsidR="00311155">
        <w:t xml:space="preserve"> </w:t>
      </w:r>
      <w:r w:rsidR="00F053B1">
        <w:t>A common technique is to represent this data in a “3-D format”, but these do not always convey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5"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BE3EF3" w:rsidRPr="00043795">
        <w:rPr>
          <w:b/>
          <w:sz w:val="18"/>
        </w:rPr>
        <w:fldChar w:fldCharType="begin"/>
      </w:r>
      <w:r w:rsidR="00B139AF" w:rsidRPr="00043795">
        <w:rPr>
          <w:b/>
          <w:sz w:val="18"/>
        </w:rPr>
        <w:instrText xml:space="preserve"> SEQ Figure \* ARABIC </w:instrText>
      </w:r>
      <w:r w:rsidR="00BE3EF3" w:rsidRPr="00043795">
        <w:rPr>
          <w:b/>
          <w:sz w:val="18"/>
        </w:rPr>
        <w:fldChar w:fldCharType="separate"/>
      </w:r>
      <w:r w:rsidR="009D7463">
        <w:rPr>
          <w:b/>
          <w:noProof/>
          <w:sz w:val="18"/>
        </w:rPr>
        <w:t>5</w:t>
      </w:r>
      <w:r w:rsidR="00BE3EF3"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(stackOverflow, 2014)</w:t>
      </w:r>
    </w:p>
    <w:p w:rsidR="00F053B1" w:rsidRDefault="00F053B1" w:rsidP="000A64B2">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w:t>
      </w:r>
      <w:r w:rsidR="00D230D5">
        <w:t xml:space="preserve">rately and cogently represent </w:t>
      </w:r>
      <w:r w:rsidR="00A50FCE">
        <w:t>dimensional data</w:t>
      </w:r>
      <w:r w:rsidR="00D230D5">
        <w:t xml:space="preserve"> with four or more important dimensions</w:t>
      </w:r>
      <w:r w:rsidR="00A50FCE">
        <w:t>.</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w:t>
      </w:r>
      <w:r w:rsidR="00D230D5">
        <w:t>geographic and structures</w:t>
      </w:r>
      <w:r>
        <w:t xml:space="preserve"> features of the simulation or active battlespace, </w:t>
      </w:r>
      <w:r w:rsidRPr="00D23412">
        <w:rPr>
          <w:i/>
        </w:rPr>
        <w:t>e.g</w:t>
      </w:r>
      <w:r>
        <w:t>. commun</w:t>
      </w:r>
      <w:r>
        <w:t>i</w:t>
      </w:r>
      <w:r>
        <w:t>cating an area of analyzed danger by outlining on a map dis</w:t>
      </w:r>
      <w:r w:rsidR="00D230D5">
        <w:t>play or shading on photographic</w:t>
      </w:r>
      <w:r>
        <w:t xml:space="preserve">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r w:rsidR="00F95740">
        <w:t>here</w:t>
      </w:r>
      <w:r>
        <w:t>, is the one of individualizing content and prese</w:t>
      </w:r>
      <w:r>
        <w:t>n</w:t>
      </w:r>
      <w:r>
        <w:t>tation to the intended recipient.</w:t>
      </w:r>
      <w:r w:rsidR="00311155">
        <w:t xml:space="preserve"> </w:t>
      </w:r>
      <w:r w:rsidR="003838AB">
        <w:t>Good teac</w:t>
      </w:r>
      <w:r w:rsidR="003838AB">
        <w:t>h</w:t>
      </w:r>
      <w:r w:rsidR="003838AB">
        <w:t>ers, briefers and advocates all tailor their d</w:t>
      </w:r>
      <w:r w:rsidR="003838AB">
        <w:t>e</w:t>
      </w:r>
      <w:r w:rsidR="003838AB">
        <w:t>livery to the</w:t>
      </w:r>
      <w:r w:rsidR="00D230D5">
        <w:t>ir audience</w:t>
      </w:r>
      <w:r w:rsidR="003838AB">
        <w:t xml:space="preserve"> bas</w:t>
      </w:r>
      <w:r w:rsidR="00421E80">
        <w:t>ed on pre-ascertained knowledge as well as</w:t>
      </w:r>
      <w:r w:rsidR="003838AB">
        <w:t xml:space="preserve"> observed body-language, attire, questions and other cues. </w:t>
      </w:r>
      <w:r>
        <w:t>Computers tend to have a unitary a</w:t>
      </w:r>
      <w:r>
        <w:t>p</w:t>
      </w:r>
      <w:r>
        <w:t>proach to communication.</w:t>
      </w:r>
      <w:r w:rsidR="00311155">
        <w:t xml:space="preserve"> </w:t>
      </w:r>
      <w:r>
        <w:t xml:space="preserve">Were one to type in </w:t>
      </w:r>
      <w:r w:rsidR="0010482C">
        <w:t>a topic</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w:t>
      </w:r>
      <w:r w:rsidR="0010482C">
        <w:t>. Entering “Quantum Mechanics”</w:t>
      </w:r>
      <w:r w:rsidR="00456460">
        <w:t>: the first se</w:t>
      </w:r>
      <w:r w:rsidR="00456460">
        <w:t>n</w:t>
      </w:r>
      <w:r w:rsidR="00456460">
        <w:t>tence reads, “</w:t>
      </w:r>
      <w:r w:rsidR="00456460" w:rsidRPr="00456460">
        <w:t>Quan</w:t>
      </w:r>
      <w:r w:rsidR="0010482C">
        <w:t>tum mechanics (QM;</w:t>
      </w:r>
      <w:r w:rsidR="00456460" w:rsidRPr="00456460">
        <w:t xml:space="preserve"> also known as quantum physics, or quantum the</w:t>
      </w:r>
      <w:r w:rsidR="00456460" w:rsidRPr="00456460">
        <w:t>o</w:t>
      </w:r>
      <w:r w:rsidR="00456460" w:rsidRPr="00456460">
        <w:t>ry) is a fundamental branch of physics which deals with physical phenomena at nanoscopic scales where the action is on the order of the Planck constant.</w:t>
      </w:r>
      <w:r w:rsidR="00456460">
        <w:t>”(Wikipedia, 2014).</w:t>
      </w:r>
      <w:r w:rsidR="00311155">
        <w:t xml:space="preserve"> </w:t>
      </w:r>
      <w:r w:rsidR="0010482C">
        <w:t>There is one</w:t>
      </w:r>
      <w:r w:rsidR="00456460">
        <w:t xml:space="preserve"> </w:t>
      </w:r>
      <w:r w:rsidR="00D230D5">
        <w:t>other</w:t>
      </w:r>
      <w:r w:rsidR="00456460">
        <w:t xml:space="preserve"> option </w:t>
      </w:r>
      <w:r w:rsidR="0010482C">
        <w:t>known to a few</w:t>
      </w:r>
      <w:r w:rsidR="00456460">
        <w:t xml:space="preserve">: the Simple English Wikipedia, where the same search </w:t>
      </w:r>
      <w:r w:rsidR="000041C4">
        <w:t>produces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w:t>
      </w:r>
      <w:r w:rsidR="00D230D5">
        <w:t xml:space="preserve">. However, </w:t>
      </w:r>
      <w:r w:rsidR="00456460">
        <w:t>this r</w:t>
      </w:r>
      <w:r w:rsidR="00456460">
        <w:t>e</w:t>
      </w:r>
      <w:r w:rsidR="00456460">
        <w:t>quires</w:t>
      </w:r>
      <w:r w:rsidR="00421E80">
        <w:t xml:space="preserve"> foreknowledge</w:t>
      </w:r>
      <w:r w:rsidR="0010482C">
        <w:t xml:space="preserve"> of the choice</w:t>
      </w:r>
      <w:r w:rsidR="00421E80">
        <w:t xml:space="preserve"> and</w:t>
      </w:r>
      <w:r w:rsidR="00456460">
        <w:t xml:space="preserve"> an affirma</w:t>
      </w:r>
      <w:r w:rsidR="0010482C">
        <w:t>tive act on</w:t>
      </w:r>
      <w:r w:rsidR="00456460">
        <w:t xml:space="preserve"> the part of the data seeker.</w:t>
      </w:r>
      <w:r w:rsidR="00311155">
        <w:t xml:space="preserve"> </w:t>
      </w:r>
      <w:r w:rsidR="007D5EDF">
        <w:t xml:space="preserve">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311155">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w:t>
      </w:r>
      <w:r w:rsidR="00311155">
        <w:t xml:space="preserve"> </w:t>
      </w:r>
      <w:r w:rsidR="00196416">
        <w:t xml:space="preserve">These are not seen as challenges by most users; they represent a new set of opportunities. </w:t>
      </w:r>
      <w:r>
        <w:t xml:space="preserve">Many of </w:t>
      </w:r>
      <w:r>
        <w:lastRenderedPageBreak/>
        <w:t>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w:t>
      </w:r>
      <w:r w:rsidR="00311155">
        <w:t xml:space="preserve"> </w:t>
      </w:r>
      <w:r>
        <w:t>There are two commonly recognized models for 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both</w:t>
      </w:r>
      <w:r w:rsidR="00D7564F">
        <w:t xml:space="preserve"> in</w:t>
      </w:r>
      <w:r w:rsidR="00140170">
        <w:t xml:space="preserve"> training and</w:t>
      </w:r>
      <w:r w:rsidR="00D7564F">
        <w:t xml:space="preserve"> in di</w:t>
      </w:r>
      <w:r w:rsidR="00D7564F">
        <w:t>s</w:t>
      </w:r>
      <w:r w:rsidR="00D7564F">
        <w:t>seminating</w:t>
      </w:r>
      <w:r w:rsidR="00140170">
        <w:t xml:space="preserve"> operational knowledge. </w:t>
      </w:r>
    </w:p>
    <w:p w:rsidR="00CC04F9" w:rsidRDefault="00CC04F9" w:rsidP="00F95740"/>
    <w:p w:rsidR="00CC04F9" w:rsidRDefault="00CC04F9" w:rsidP="00F95740">
      <w:r>
        <w:t>Another opportunity lies in the area of ind</w:t>
      </w:r>
      <w:r>
        <w:t>i</w:t>
      </w:r>
      <w:r>
        <w:t xml:space="preserve">vidual </w:t>
      </w:r>
      <w:r w:rsidR="00927047">
        <w:t xml:space="preserve">personality </w:t>
      </w:r>
      <w:r>
        <w:t>differences.</w:t>
      </w:r>
      <w:r w:rsidR="00311155">
        <w:t xml:space="preserve"> </w:t>
      </w:r>
      <w:r>
        <w:t>One would have been a poor senior commander in World War II to have issued the exact same order to each of the Generals MacArthur, Bradley and Patton and</w:t>
      </w:r>
      <w:r w:rsidR="00421E80">
        <w:t xml:space="preserve"> then expected the same responses by </w:t>
      </w:r>
      <w:r>
        <w:t>their respective commands.</w:t>
      </w:r>
      <w:r w:rsidR="00311155">
        <w:t xml:space="preserve"> </w:t>
      </w:r>
      <w:r>
        <w:t>From the squad leader to the General of the Army, leadership depends on knowing how to get the best out of each individual. In producing information, be it analytical data for the sim</w:t>
      </w:r>
      <w:r>
        <w:t>u</w:t>
      </w:r>
      <w:r>
        <w:t>lation team or direction for the combat co</w:t>
      </w:r>
      <w:r>
        <w:t>m</w:t>
      </w:r>
      <w:r>
        <w:t xml:space="preserve">mander, computers </w:t>
      </w:r>
      <w:r w:rsidR="00421E80">
        <w:t xml:space="preserve">now tend to </w:t>
      </w:r>
      <w:r>
        <w:t xml:space="preserve">generate the same output, no matter who the addressee. </w:t>
      </w:r>
      <w:r w:rsidR="00D230D5">
        <w:t>There are a number of ways that this issue could be addressed by a carefully designed program with both machine generated sens</w:t>
      </w:r>
      <w:r w:rsidR="00D230D5">
        <w:t>i</w:t>
      </w:r>
      <w:r w:rsidR="00D230D5">
        <w:t>tivities and input from senior officers.</w:t>
      </w:r>
    </w:p>
    <w:p w:rsidR="00521906" w:rsidRDefault="00521906" w:rsidP="00F95740"/>
    <w:p w:rsidR="00521906" w:rsidRDefault="00521906" w:rsidP="00F95740">
      <w:r>
        <w:t>Due to limitations in computing assets</w:t>
      </w:r>
      <w:r w:rsidR="00D230D5">
        <w:t xml:space="preserve"> and lack of familiarity with artificial intelligence (AI)</w:t>
      </w:r>
      <w:r>
        <w:t xml:space="preserve">, simulations have heretofore relied largely on the </w:t>
      </w:r>
      <w:r w:rsidR="00421E80">
        <w:t xml:space="preserve">slavish </w:t>
      </w:r>
      <w:r>
        <w:t>exe</w:t>
      </w:r>
      <w:r w:rsidR="00421E80">
        <w:t>cution of doctrinal direction received by</w:t>
      </w:r>
      <w:r>
        <w:t xml:space="preserve"> the various forces from their se</w:t>
      </w:r>
      <w:r>
        <w:t>n</w:t>
      </w:r>
      <w:r>
        <w:t>ior command</w:t>
      </w:r>
      <w:r w:rsidR="00421E80">
        <w:t>er</w:t>
      </w:r>
      <w:r>
        <w:t>s.</w:t>
      </w:r>
      <w:r w:rsidR="00311155">
        <w:t xml:space="preserve"> </w:t>
      </w:r>
      <w:r>
        <w:t xml:space="preserve">This is </w:t>
      </w:r>
      <w:r w:rsidR="00421E80">
        <w:t>arguably</w:t>
      </w:r>
      <w:r>
        <w:t xml:space="preserve"> </w:t>
      </w:r>
      <w:r w:rsidR="00EB3575">
        <w:t>even more troubling</w:t>
      </w:r>
      <w:r>
        <w:t xml:space="preserve"> in asymmetric warfare</w:t>
      </w:r>
      <w:r w:rsidR="00421E80">
        <w:t>, where there is no</w:t>
      </w:r>
      <w:r>
        <w:t xml:space="preserve"> established doctrine and the opposing forces intentionally look for ways to circu</w:t>
      </w:r>
      <w:r>
        <w:t>m</w:t>
      </w:r>
      <w:r>
        <w:t xml:space="preserve">vent defenses designed for more </w:t>
      </w:r>
      <w:r w:rsidR="00634AD3">
        <w:t>conventional</w:t>
      </w:r>
      <w:r>
        <w:t xml:space="preserve"> forces.</w:t>
      </w:r>
      <w:r w:rsidR="00311155">
        <w:t xml:space="preserve"> </w:t>
      </w:r>
      <w:r>
        <w:t>In addition, recent findings by the b</w:t>
      </w:r>
      <w:r>
        <w:t>e</w:t>
      </w:r>
      <w:r>
        <w:lastRenderedPageBreak/>
        <w:t>havioral economists have highlighted the irr</w:t>
      </w:r>
      <w:r>
        <w:t>a</w:t>
      </w:r>
      <w:r>
        <w:t xml:space="preserve">tional application of </w:t>
      </w:r>
      <w:r w:rsidR="00EB3575">
        <w:t>reason</w:t>
      </w:r>
      <w:r>
        <w:t xml:space="preserve"> by</w:t>
      </w:r>
      <w:r w:rsidR="00EF2EB8">
        <w:t xml:space="preserve"> ostensibly</w:t>
      </w:r>
      <w:r w:rsidR="00EF2EB8" w:rsidRPr="00EF2EB8">
        <w:t xml:space="preserve"> </w:t>
      </w:r>
      <w:r w:rsidR="00EF2EB8">
        <w:t>r</w:t>
      </w:r>
      <w:r w:rsidR="00EF2EB8">
        <w:t>a</w:t>
      </w:r>
      <w:r w:rsidR="00EF2EB8">
        <w:t>tional</w:t>
      </w:r>
      <w:r>
        <w:t xml:space="preserve"> human beings, (</w:t>
      </w:r>
      <w:r w:rsidR="007E29DB">
        <w:t>Ariely, 2010</w:t>
      </w:r>
      <w:r>
        <w:t xml:space="preserve"> &amp;</w:t>
      </w:r>
      <w:r w:rsidR="007E29DB" w:rsidRPr="007E29DB">
        <w:t xml:space="preserve"> </w:t>
      </w:r>
      <w:r w:rsidR="007E29DB">
        <w:t>Kahneman, 2011</w:t>
      </w:r>
      <w:r>
        <w:t>).</w:t>
      </w:r>
      <w:r w:rsidR="00311155">
        <w:t xml:space="preserve"> </w:t>
      </w:r>
      <w:r w:rsidR="00FA38DB">
        <w:t>During one of the large-scale simulations at JFCOM (Lucas, 2003), one of the entity models was exhibiting une</w:t>
      </w:r>
      <w:r w:rsidR="00FA38DB">
        <w:t>x</w:t>
      </w:r>
      <w:r w:rsidR="00FA38DB">
        <w:t>pected and unusual behavior, so there was a discussion about making it behave rationally. At that point, one of the participants</w:t>
      </w:r>
      <w:r w:rsidR="00634AD3">
        <w:t>, having had</w:t>
      </w:r>
      <w:r w:rsidR="00FA38DB">
        <w:t xml:space="preserve"> </w:t>
      </w:r>
      <w:r w:rsidR="00634AD3">
        <w:t xml:space="preserve">some </w:t>
      </w:r>
      <w:r w:rsidR="00FA38DB">
        <w:t>actual combat experience</w:t>
      </w:r>
      <w:r w:rsidR="00634AD3">
        <w:t>,</w:t>
      </w:r>
      <w:r w:rsidR="00FA38DB">
        <w:t xml:space="preserve"> quipped, “What makes you think humans behave r</w:t>
      </w:r>
      <w:r w:rsidR="00FA38DB">
        <w:t>a</w:t>
      </w:r>
      <w:r w:rsidR="00FA38DB">
        <w:t xml:space="preserve">tionally in combat?”.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w:t>
      </w:r>
      <w:r w:rsidR="00311155">
        <w:t xml:space="preserve"> </w:t>
      </w:r>
      <w:r w:rsidR="00933F2F">
        <w:t>These technologies and techniques are in varying stages of development and a</w:t>
      </w:r>
      <w:r w:rsidR="00933F2F">
        <w:t>c</w:t>
      </w:r>
      <w:r w:rsidR="00933F2F">
        <w:t>ceptance in many different disciplines.</w:t>
      </w:r>
      <w:r w:rsidR="00311155">
        <w:t xml:space="preserve"> </w:t>
      </w:r>
      <w:r w:rsidR="00933F2F">
        <w:t xml:space="preserve">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 xml:space="preserve">tion, </w:t>
      </w:r>
      <w:r w:rsidR="00EB3575">
        <w:t>there have been spirited discussions on</w:t>
      </w:r>
      <w:r>
        <w:t xml:space="preserve"> the possibility of intelligent agent simulations being s</w:t>
      </w:r>
      <w:r w:rsidR="00EB3575">
        <w:t>o valid and reliable that they c</w:t>
      </w:r>
      <w:r w:rsidR="008E1386">
        <w:t>ould act as</w:t>
      </w:r>
      <w:r>
        <w:t xml:space="preserve"> good </w:t>
      </w:r>
      <w:r w:rsidR="00EB3575">
        <w:t>predictors</w:t>
      </w:r>
      <w:r>
        <w:t xml:space="preserve"> of potential outcomes on the live battlefield.</w:t>
      </w:r>
      <w:r w:rsidR="00311155">
        <w:t xml:space="preserve"> </w:t>
      </w:r>
      <w:r>
        <w:t>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w:t>
      </w:r>
      <w:r w:rsidR="00FC5C65">
        <w:t>h</w:t>
      </w:r>
      <w:r w:rsidR="00FC5C65">
        <w:t>niques and computational science improved, the vision of a reliable predictive value from simulations gained credence.</w:t>
      </w:r>
      <w:r w:rsidR="00311155">
        <w:t xml:space="preserve"> </w:t>
      </w:r>
      <w:r w:rsidR="00FC5C65">
        <w:t>One of the e</w:t>
      </w:r>
      <w:r w:rsidR="00FC5C65">
        <w:t>f</w:t>
      </w:r>
      <w:r w:rsidR="00FC5C65">
        <w:t>forts to which th</w:t>
      </w:r>
      <w:r w:rsidR="000C5105">
        <w:t>at</w:t>
      </w:r>
      <w:r w:rsidR="00FC5C65">
        <w:t xml:space="preserve"> led was the DARPA Deep Green initiative (Surdu, 2008). </w:t>
      </w:r>
      <w:r w:rsidR="00C76C6A">
        <w:t>That project was designed to give enhanced views of co</w:t>
      </w:r>
      <w:r w:rsidR="00C76C6A">
        <w:t>m</w:t>
      </w:r>
      <w:r w:rsidR="00C76C6A">
        <w:t>bat situation awareness for use by comman</w:t>
      </w:r>
      <w:r w:rsidR="00C76C6A">
        <w:t>d</w:t>
      </w:r>
      <w:r w:rsidR="00C76C6A">
        <w:t>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w:t>
      </w:r>
      <w:r>
        <w:lastRenderedPageBreak/>
        <w:t xml:space="preserve">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w:t>
      </w:r>
      <w:r w:rsidR="00311155">
        <w:t xml:space="preserve"> </w:t>
      </w:r>
      <w:r w:rsidR="000C5105">
        <w:t>Doctrine only goes so far in contro</w:t>
      </w:r>
      <w:r w:rsidR="000C5105">
        <w:t>l</w:t>
      </w:r>
      <w:r w:rsidR="000C5105">
        <w:t>ling the actions of warfighters in combat.</w:t>
      </w:r>
      <w:r w:rsidR="00311155">
        <w:t xml:space="preserve"> </w:t>
      </w:r>
      <w:r w:rsidR="000C5105">
        <w:t>Some deviate intentionally and some do it mistakenly, but in both cases, the lack of a</w:t>
      </w:r>
      <w:r w:rsidR="000C5105">
        <w:t>d</w:t>
      </w:r>
      <w:r w:rsidR="000C5105">
        <w:t>herence would call into question any simul</w:t>
      </w:r>
      <w:r w:rsidR="000C5105">
        <w:t>a</w:t>
      </w:r>
      <w:r w:rsidR="00822D21">
        <w:t xml:space="preserve">tion that ignores </w:t>
      </w:r>
      <w:r w:rsidR="000C5105">
        <w:t>those contingencies.</w:t>
      </w:r>
      <w:r w:rsidR="00311155">
        <w:t xml:space="preserve"> </w:t>
      </w:r>
    </w:p>
    <w:p w:rsidR="00B474B3" w:rsidRPr="00933F2F" w:rsidRDefault="00B474B3" w:rsidP="00B474B3">
      <w:pPr>
        <w:pStyle w:val="EmrgngTech"/>
      </w:pPr>
      <w:r w:rsidRPr="00933F2F">
        <w:t>Quantum computing</w:t>
      </w:r>
    </w:p>
    <w:p w:rsidR="00EB3575" w:rsidRDefault="003F291B" w:rsidP="00326C2F">
      <w:r>
        <w:t>One potential solution to the demands of running large-scale simulations for many iter</w:t>
      </w:r>
      <w:r>
        <w:t>a</w:t>
      </w:r>
      <w:r>
        <w:t>tions is the promise of quantum computing.</w:t>
      </w:r>
      <w:r w:rsidR="00311155">
        <w:t xml:space="preserve"> </w:t>
      </w:r>
      <w:r>
        <w:t>Proposed in early theoretical papers by Nobel Laureate Richard Feynman</w:t>
      </w:r>
      <w:r w:rsidR="00EF2EB8">
        <w:t>,</w:t>
      </w:r>
      <w:r>
        <w:t xml:space="preserve">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”(Lo, 2014).</w:t>
      </w:r>
      <w:r w:rsidR="00085176" w:rsidRPr="00085176">
        <w:t xml:space="preserve"> </w:t>
      </w:r>
      <w:r w:rsidR="00EB3575">
        <w:t>One of the features of quantum computing is its abi</w:t>
      </w:r>
      <w:r w:rsidR="00EB3575">
        <w:t>l</w:t>
      </w:r>
      <w:r w:rsidR="00EB3575">
        <w:t>ity to assess several alternative states simult</w:t>
      </w:r>
      <w:r w:rsidR="00EB3575">
        <w:t>a</w:t>
      </w:r>
      <w:r w:rsidR="00EB3575">
        <w:t xml:space="preserve">neously. </w:t>
      </w:r>
    </w:p>
    <w:p w:rsidR="00EB3575" w:rsidRDefault="00EB3575" w:rsidP="00326C2F"/>
    <w:p w:rsidR="00326C2F" w:rsidRDefault="00085176" w:rsidP="00326C2F">
      <w:r>
        <w:t xml:space="preserve">Recent advances have made the use of this power seem increasingly imminent </w:t>
      </w:r>
      <w:r w:rsidR="008E2CC4">
        <w:t>(Lanting, 2014)</w:t>
      </w:r>
      <w:r w:rsidR="00A80425">
        <w:t xml:space="preserve">. The D-Wave Quantum Annealer at the University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lastRenderedPageBreak/>
        <w:t>cas, 2013).</w:t>
      </w:r>
      <w:r w:rsidR="00C76C6A">
        <w:t xml:space="preserve"> Many of the classes of problems for which these speed-ups are projected are of interest to the simulation and intelligence </w:t>
      </w:r>
      <w:r w:rsidR="00326C2F">
        <w:t xml:space="preserve">communities. </w:t>
      </w:r>
    </w:p>
    <w:p w:rsidR="00326C2F" w:rsidRDefault="00105E5F" w:rsidP="00EF6BB1">
      <w:r>
        <w:t>(Lucas, 2013)</w:t>
      </w:r>
    </w:p>
    <w:tbl>
      <w:tblPr>
        <w:tblpPr w:leftFromText="187" w:rightFromText="187" w:vertAnchor="text" w:horzAnchor="margin" w:tblpX="-162" w:tblpY="-13"/>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E91162" w:rsidTr="00B47705">
        <w:trPr>
          <w:cantSplit/>
          <w:trHeight w:val="324"/>
        </w:trPr>
        <w:tc>
          <w:tcPr>
            <w:tcW w:w="4788" w:type="dxa"/>
            <w:gridSpan w:val="3"/>
          </w:tcPr>
          <w:p w:rsidR="00E91162" w:rsidRPr="005F21CB" w:rsidRDefault="00E91162" w:rsidP="00B47705">
            <w:pPr>
              <w:pStyle w:val="Footer"/>
              <w:spacing w:before="40" w:after="40"/>
              <w:jc w:val="center"/>
              <w:rPr>
                <w:b/>
                <w:bCs/>
              </w:rPr>
            </w:pPr>
            <w:r w:rsidRPr="005F21CB">
              <w:rPr>
                <w:b/>
                <w:bCs/>
                <w:sz w:val="22"/>
              </w:rPr>
              <w:t>Table 1. Proposed Uses of Quantum Annealing</w:t>
            </w:r>
          </w:p>
        </w:tc>
      </w:tr>
      <w:tr w:rsidR="00E91162" w:rsidTr="00B47705">
        <w:trPr>
          <w:cantSplit/>
          <w:trHeight w:val="324"/>
        </w:trPr>
        <w:tc>
          <w:tcPr>
            <w:tcW w:w="1620" w:type="dxa"/>
          </w:tcPr>
          <w:p w:rsidR="00E91162" w:rsidRPr="005F21CB" w:rsidRDefault="00E91162" w:rsidP="00B47705">
            <w:pPr>
              <w:pStyle w:val="Footer"/>
              <w:spacing w:before="40" w:after="40"/>
              <w:jc w:val="center"/>
              <w:rPr>
                <w:b/>
                <w:bCs/>
              </w:rPr>
            </w:pPr>
            <w:r w:rsidRPr="005F21CB">
              <w:rPr>
                <w:b/>
                <w:bCs/>
                <w:sz w:val="22"/>
              </w:rPr>
              <w:t>Data Mgt.</w:t>
            </w:r>
          </w:p>
        </w:tc>
        <w:tc>
          <w:tcPr>
            <w:tcW w:w="1530" w:type="dxa"/>
          </w:tcPr>
          <w:p w:rsidR="00E91162" w:rsidRPr="005F21CB" w:rsidRDefault="00E91162" w:rsidP="00B47705">
            <w:pPr>
              <w:pStyle w:val="Footer"/>
              <w:spacing w:before="40" w:after="40"/>
              <w:jc w:val="center"/>
              <w:rPr>
                <w:b/>
                <w:bCs/>
              </w:rPr>
            </w:pPr>
            <w:r w:rsidRPr="005F21CB">
              <w:rPr>
                <w:b/>
                <w:bCs/>
                <w:sz w:val="22"/>
              </w:rPr>
              <w:t>Behaviors</w:t>
            </w:r>
          </w:p>
        </w:tc>
        <w:tc>
          <w:tcPr>
            <w:tcW w:w="1638" w:type="dxa"/>
          </w:tcPr>
          <w:p w:rsidR="00E91162" w:rsidRPr="005F21CB" w:rsidRDefault="00E91162" w:rsidP="00B47705">
            <w:pPr>
              <w:pStyle w:val="Footer"/>
              <w:spacing w:before="40" w:after="40"/>
              <w:jc w:val="center"/>
              <w:rPr>
                <w:b/>
                <w:bCs/>
              </w:rPr>
            </w:pPr>
            <w:r w:rsidRPr="005F21CB">
              <w:rPr>
                <w:b/>
                <w:bCs/>
                <w:sz w:val="22"/>
              </w:rPr>
              <w:t>Analysis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Labeling Images</w:t>
            </w:r>
          </w:p>
        </w:tc>
        <w:tc>
          <w:tcPr>
            <w:tcW w:w="1530" w:type="dxa"/>
          </w:tcPr>
          <w:p w:rsidR="00E91162" w:rsidRPr="00CD5128" w:rsidRDefault="00E91162" w:rsidP="00B47705">
            <w:pPr>
              <w:jc w:val="center"/>
              <w:rPr>
                <w:sz w:val="18"/>
              </w:rPr>
            </w:pPr>
            <w:r w:rsidRPr="00CD5128">
              <w:rPr>
                <w:sz w:val="18"/>
              </w:rPr>
              <w:t>Extracting News Stories</w:t>
            </w:r>
          </w:p>
        </w:tc>
        <w:tc>
          <w:tcPr>
            <w:tcW w:w="1638" w:type="dxa"/>
          </w:tcPr>
          <w:p w:rsidR="00E91162" w:rsidRPr="00CD5128" w:rsidRDefault="00E91162" w:rsidP="00B47705">
            <w:pPr>
              <w:jc w:val="center"/>
              <w:rPr>
                <w:sz w:val="18"/>
              </w:rPr>
            </w:pPr>
            <w:r w:rsidRPr="00CD5128">
              <w:rPr>
                <w:sz w:val="18"/>
              </w:rPr>
              <w:t>Creating/ Testing Hypotheses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Scanning Data for Correlations or Anomalies</w:t>
            </w:r>
          </w:p>
        </w:tc>
        <w:tc>
          <w:tcPr>
            <w:tcW w:w="1530" w:type="dxa"/>
          </w:tcPr>
          <w:p w:rsidR="00E91162" w:rsidRPr="00CD5128" w:rsidRDefault="00E91162" w:rsidP="00B47705">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E91162" w:rsidRPr="00CD5128" w:rsidRDefault="00E91162" w:rsidP="00B47705">
            <w:pPr>
              <w:jc w:val="center"/>
              <w:rPr>
                <w:sz w:val="18"/>
              </w:rPr>
            </w:pPr>
            <w:r w:rsidRPr="00CD5128">
              <w:rPr>
                <w:sz w:val="18"/>
              </w:rPr>
              <w:t>Object Detecting in Imagery</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 xml:space="preserve">Correlating </w:t>
            </w:r>
            <w:r w:rsidRPr="00CD5128">
              <w:rPr>
                <w:sz w:val="18"/>
              </w:rPr>
              <w:br/>
              <w:t>Bio-Informatics</w:t>
            </w:r>
          </w:p>
        </w:tc>
        <w:tc>
          <w:tcPr>
            <w:tcW w:w="1530" w:type="dxa"/>
          </w:tcPr>
          <w:p w:rsidR="00E91162" w:rsidRPr="00CD5128" w:rsidRDefault="00E91162" w:rsidP="00B47705">
            <w:pPr>
              <w:jc w:val="center"/>
              <w:rPr>
                <w:sz w:val="18"/>
              </w:rPr>
            </w:pPr>
            <w:r w:rsidRPr="00CD5128">
              <w:rPr>
                <w:sz w:val="18"/>
              </w:rPr>
              <w:t>Factor Analysis of Intelligence</w:t>
            </w:r>
          </w:p>
        </w:tc>
        <w:tc>
          <w:tcPr>
            <w:tcW w:w="1638" w:type="dxa"/>
          </w:tcPr>
          <w:p w:rsidR="00E91162" w:rsidRPr="00CD5128" w:rsidRDefault="00E91162" w:rsidP="00B47705">
            <w:pPr>
              <w:jc w:val="center"/>
              <w:rPr>
                <w:sz w:val="18"/>
              </w:rPr>
            </w:pPr>
            <w:r w:rsidRPr="00CD5128">
              <w:rPr>
                <w:sz w:val="18"/>
              </w:rPr>
              <w:t xml:space="preserve">Verifying </w:t>
            </w:r>
            <w:r w:rsidRPr="00CD5128">
              <w:rPr>
                <w:sz w:val="18"/>
              </w:rPr>
              <w:br/>
              <w:t>Computer Codes</w:t>
            </w:r>
          </w:p>
        </w:tc>
      </w:tr>
    </w:tbl>
    <w:p w:rsidR="005F21CB" w:rsidRDefault="005F21CB" w:rsidP="00EF6BB1"/>
    <w:p w:rsidR="00D665D8" w:rsidRDefault="0017557B" w:rsidP="00EF6BB1">
      <w:r>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w:t>
      </w:r>
      <w:r w:rsidR="00EB3575">
        <w:t xml:space="preserve"> (CGF)</w:t>
      </w:r>
      <w:r w:rsidR="00D665D8" w:rsidRPr="00D665D8">
        <w:t xml:space="preserve"> </w:t>
      </w:r>
      <w:r w:rsidR="00EB3575">
        <w:t>that are</w:t>
      </w:r>
      <w:r w:rsidR="00D665D8" w:rsidRPr="00D665D8">
        <w:t xml:space="preserve"> see</w:t>
      </w:r>
      <w:r w:rsidR="00EB3575">
        <w:t>n as ha</w:t>
      </w:r>
      <w:r w:rsidR="00EB3575">
        <w:t>v</w:t>
      </w:r>
      <w:r w:rsidR="00EB3575">
        <w:t>ing</w:t>
      </w:r>
      <w:r w:rsidR="00D665D8" w:rsidRPr="00D665D8">
        <w:t xml:space="preserve"> the greatest potential for significant a</w:t>
      </w:r>
      <w:r w:rsidR="00D665D8" w:rsidRPr="00D665D8">
        <w:t>d</w:t>
      </w:r>
      <w:r w:rsidR="00D665D8" w:rsidRPr="00D665D8">
        <w:t>vances in the over</w:t>
      </w:r>
      <w:r w:rsidR="00105E5F">
        <w:t>all performance of</w:t>
      </w:r>
      <w:r w:rsidR="00D665D8" w:rsidRPr="00D665D8">
        <w:t xml:space="preserve"> </w:t>
      </w:r>
      <w:r w:rsidR="00EB3575">
        <w:t>CGF</w:t>
      </w:r>
      <w:r w:rsidR="00D665D8" w:rsidRPr="00D665D8">
        <w:t xml:space="preserve"> system</w:t>
      </w:r>
      <w:r w:rsidR="00EB3575">
        <w:t>s</w:t>
      </w:r>
      <w:r w:rsidR="00D665D8" w:rsidRPr="00D665D8">
        <w:t xml:space="preserve">. There still is significant work to be done in the development of the </w:t>
      </w:r>
      <w:r w:rsidR="002D5018">
        <w:t>quantum computing systems</w:t>
      </w:r>
      <w:r w:rsidR="00D665D8" w:rsidRPr="00D665D8">
        <w:t xml:space="preserve"> and </w:t>
      </w:r>
      <w:r w:rsidR="002D5018">
        <w:t>considerable ground that needs to be covered in both the conce</w:t>
      </w:r>
      <w:r w:rsidR="002D5018">
        <w:t>p</w:t>
      </w:r>
      <w:r w:rsidR="002D5018">
        <w:t>tual approach to programming and in the o</w:t>
      </w:r>
      <w:r w:rsidR="002D5018">
        <w:t>r</w:t>
      </w:r>
      <w:r w:rsidR="002D5018">
        <w:t>derly creation of a programmers’ culture.</w:t>
      </w:r>
      <w:r w:rsidR="00311155">
        <w:t xml:space="preserve"> </w:t>
      </w:r>
      <w:r w:rsidR="002D5018">
        <w:t>The authors have seen this evolution in parallel programming for scientific clusters</w:t>
      </w:r>
      <w:r w:rsidR="00D665D8" w:rsidRPr="00D665D8">
        <w:t xml:space="preserve">. </w:t>
      </w:r>
      <w:r w:rsidR="002D5018">
        <w:t>While it may be several years before significant brea</w:t>
      </w:r>
      <w:r w:rsidR="002D5018">
        <w:t>k</w:t>
      </w:r>
      <w:r w:rsidR="002D5018">
        <w:t xml:space="preserve">throughs are readily available to the day-to-day </w:t>
      </w:r>
      <w:r w:rsidR="00105E5F">
        <w:t xml:space="preserve">DoD </w:t>
      </w:r>
      <w:r w:rsidR="002D5018">
        <w:t>user, early recognit</w:t>
      </w:r>
      <w:r w:rsidR="00105E5F">
        <w:t>ion of the revol</w:t>
      </w:r>
      <w:r w:rsidR="00105E5F">
        <w:t>u</w:t>
      </w:r>
      <w:r w:rsidR="00105E5F">
        <w:t xml:space="preserve">tion this </w:t>
      </w:r>
      <w:r w:rsidR="002D5018">
        <w:t>will accrue to the benefit of those who will be prepared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tlefield commander (Anthony, 2006).</w:t>
      </w:r>
      <w:r w:rsidR="00311155">
        <w:t xml:space="preserve"> </w:t>
      </w:r>
      <w:r>
        <w:t xml:space="preserve">The computational aspects of this sub-discipline have been explored and advocated by well-regarded academics (Pearl, </w:t>
      </w:r>
      <w:r w:rsidR="007E10FB">
        <w:t>2000).</w:t>
      </w:r>
      <w:r w:rsidR="00311155">
        <w:t xml:space="preserve"> </w:t>
      </w:r>
      <w:r w:rsidR="007E10FB">
        <w:t>While co</w:t>
      </w:r>
      <w:r w:rsidR="007E10FB">
        <w:t>m</w:t>
      </w:r>
      <w:r w:rsidR="007E10FB">
        <w:t>putationally demanding, the programming paradigm is well described and application to large-scale battlespace simulat</w:t>
      </w:r>
      <w:r w:rsidR="00DE25E0">
        <w:t>ion analysis should be straightforward</w:t>
      </w:r>
      <w:r w:rsidR="007E10FB">
        <w:t>.</w:t>
      </w:r>
      <w:r w:rsidR="00311155">
        <w:t xml:space="preserve"> </w:t>
      </w:r>
      <w:r w:rsidR="007E10FB">
        <w:t xml:space="preserve">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lastRenderedPageBreak/>
        <w:t>Behavioral science insights</w:t>
      </w:r>
    </w:p>
    <w:p w:rsidR="00DC78D4" w:rsidRDefault="008F2687" w:rsidP="00EF6BB1">
      <w:r>
        <w:t>The f</w:t>
      </w:r>
      <w:r w:rsidR="00C869C3">
        <w:t>ields of behavioral economics and game theory have</w:t>
      </w:r>
      <w:r>
        <w:t xml:space="preserve"> </w:t>
      </w:r>
      <w:r w:rsidR="00C869C3">
        <w:t>effectively characterized some hitherto inexplicable reactions of decision-makin</w:t>
      </w:r>
      <w:r w:rsidR="00105E5F">
        <w:t>g by humans who are under stress</w:t>
      </w:r>
      <w:r w:rsidR="00C869C3">
        <w:t>.</w:t>
      </w:r>
      <w:r w:rsidR="00311155">
        <w:t xml:space="preserve"> </w:t>
      </w:r>
      <w:r w:rsidR="00C869C3">
        <w:t>Th</w:t>
      </w:r>
      <w:r w:rsidR="00105E5F">
        <w:t>e behavioral science</w:t>
      </w:r>
      <w:r w:rsidR="00C869C3">
        <w:t xml:space="preserve"> insights are directly appl</w:t>
      </w:r>
      <w:r w:rsidR="00C869C3">
        <w:t>i</w:t>
      </w:r>
      <w:r w:rsidR="00C869C3">
        <w:t xml:space="preserve">cable to the warfighters under consideration here. </w:t>
      </w:r>
      <w:r w:rsidR="00EA1328">
        <w:t>One of these is the ability to better rea</w:t>
      </w:r>
      <w:r w:rsidR="00EA1328">
        <w:t>l</w:t>
      </w:r>
      <w:r w:rsidR="00EA1328">
        <w:t>ize a projection of human behavior based on even irrational choices, (Ariely, 20</w:t>
      </w:r>
      <w:r w:rsidR="000F7A55">
        <w:t>08</w:t>
      </w:r>
      <w:r w:rsidR="00EA1328">
        <w:t>)</w:t>
      </w:r>
      <w:r w:rsidR="00DC78D4">
        <w:t>, as fu</w:t>
      </w:r>
      <w:r w:rsidR="00DC78D4">
        <w:t>r</w:t>
      </w:r>
      <w:r w:rsidR="00DC78D4">
        <w:t>ther discussed below.</w:t>
      </w:r>
      <w:r w:rsidR="00311155">
        <w:t xml:space="preserve">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experience. Leaders</w:t>
      </w:r>
      <w:r w:rsidR="00EB3575">
        <w:t>,</w:t>
      </w:r>
      <w:r w:rsidR="00124297">
        <w:t xml:space="preserve"> once </w:t>
      </w:r>
      <w:r w:rsidR="00EB3575">
        <w:t xml:space="preserve">they were </w:t>
      </w:r>
      <w:r w:rsidR="00124297">
        <w:t>seen as failing to rise to a cha</w:t>
      </w:r>
      <w:r w:rsidR="00124297">
        <w:t>l</w:t>
      </w:r>
      <w:r w:rsidR="00124297">
        <w:t>lenge that they personally saw as false, were abandoned</w:t>
      </w:r>
      <w:r w:rsidR="009909A3">
        <w:t xml:space="preserve"> by their alarmed followers.  Su</w:t>
      </w:r>
      <w:r w:rsidR="009909A3">
        <w:t>r</w:t>
      </w:r>
      <w:r w:rsidR="009909A3">
        <w:t xml:space="preserve">prisingly, the </w:t>
      </w:r>
      <w:r w:rsidR="00EB3575">
        <w:t xml:space="preserve">deposed leader </w:t>
      </w:r>
      <w:r w:rsidR="009909A3">
        <w:t>were</w:t>
      </w:r>
      <w:r w:rsidR="00124297">
        <w:t xml:space="preserve"> not rei</w:t>
      </w:r>
      <w:r w:rsidR="00124297">
        <w:t>n</w:t>
      </w:r>
      <w:r w:rsidR="00124297">
        <w:t>stated, even after the</w:t>
      </w:r>
      <w:r w:rsidR="00EB3575">
        <w:t>y were proven to be right and</w:t>
      </w:r>
      <w:r w:rsidR="00124297">
        <w:t xml:space="preserve"> more saga</w:t>
      </w:r>
      <w:r w:rsidR="00375AB3">
        <w:t>cious</w:t>
      </w:r>
      <w:r w:rsidR="00124297">
        <w:t>.</w:t>
      </w:r>
      <w:r w:rsidR="00311155">
        <w:t xml:space="preserve"> </w:t>
      </w:r>
      <w:r w:rsidR="00124297">
        <w:t>The study further showed that in an apparently combative env</w:t>
      </w:r>
      <w:r w:rsidR="00124297">
        <w:t>i</w:t>
      </w:r>
      <w:r w:rsidR="00124297">
        <w:t>ronment, merely rallying two potential co</w:t>
      </w:r>
      <w:r w:rsidR="00124297">
        <w:t>m</w:t>
      </w:r>
      <w:r w:rsidR="00124297">
        <w:t>batants to meet a new foe or mustering both sides to achieve a mutual goal could reduce antagonisms.</w:t>
      </w:r>
      <w:r w:rsidR="00311155">
        <w:t xml:space="preserve"> </w:t>
      </w:r>
      <w:r w:rsidR="00124297">
        <w:t xml:space="preserve">These insights have historical </w:t>
      </w:r>
      <w:r w:rsidR="00EB3575">
        <w:t>precedents that are</w:t>
      </w:r>
      <w:r w:rsidR="00124297">
        <w:t xml:space="preserve"> analogs, </w:t>
      </w:r>
      <w:r w:rsidR="00124297" w:rsidRPr="002423A4">
        <w:rPr>
          <w:i/>
        </w:rPr>
        <w:t>e.g</w:t>
      </w:r>
      <w:r w:rsidR="00124297">
        <w:t xml:space="preserve">. the rapid a frequent changing of </w:t>
      </w:r>
      <w:r w:rsidR="0060127B">
        <w:t>allegiances</w:t>
      </w:r>
      <w:r w:rsidR="00124297">
        <w:t xml:space="preserve"> during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w:t>
      </w:r>
      <w:r w:rsidR="00311155">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 xml:space="preserve">and Gladwell, 2008). More saliently, Professor Ariely has focused on the predictability of </w:t>
      </w:r>
      <w:r w:rsidR="0086644F">
        <w:t xml:space="preserve">even </w:t>
      </w:r>
      <w:r>
        <w:t>this irrationality.</w:t>
      </w:r>
      <w:r w:rsidR="00311155">
        <w:t xml:space="preserve"> </w:t>
      </w:r>
      <w:r>
        <w:t>This provides an opportunity for behaviors to be observe</w:t>
      </w:r>
      <w:r w:rsidR="00375AB3">
        <w:t>d, characterized and logged, both i</w:t>
      </w:r>
      <w:r>
        <w:t>n the environment of the large-scale simul</w:t>
      </w:r>
      <w:r>
        <w:t>a</w:t>
      </w:r>
      <w:r>
        <w:t>tion and in actual combat operations.</w:t>
      </w:r>
      <w:r w:rsidR="00311155">
        <w:t xml:space="preserve"> </w:t>
      </w:r>
      <w:r>
        <w:t>U</w:t>
      </w:r>
      <w:r>
        <w:t>n</w:t>
      </w:r>
      <w:r>
        <w:t>hampered by preconceive</w:t>
      </w:r>
      <w:r w:rsidR="0086644F">
        <w:t>d</w:t>
      </w:r>
      <w:r>
        <w:t xml:space="preserve"> biases and co</w:t>
      </w:r>
      <w:r>
        <w:t>n</w:t>
      </w:r>
      <w:r w:rsidR="003236E7">
        <w:t>sistent</w:t>
      </w:r>
      <w:r>
        <w:t xml:space="preserve"> in analytic objectivity, the computer </w:t>
      </w:r>
      <w:r w:rsidR="0086644F">
        <w:t>program</w:t>
      </w:r>
      <w:r>
        <w:t xml:space="preserve"> can </w:t>
      </w:r>
      <w:r w:rsidR="0086644F">
        <w:t>ferret out</w:t>
      </w:r>
      <w:r>
        <w:t xml:space="preserve"> behavioral trends </w:t>
      </w:r>
      <w:r>
        <w:lastRenderedPageBreak/>
        <w:t>which would otherwise defy logic</w:t>
      </w:r>
      <w:r w:rsidR="003236E7">
        <w:t xml:space="preserve"> and escape </w:t>
      </w:r>
      <w:r w:rsidR="0015086B">
        <w:t xml:space="preserve">serious </w:t>
      </w:r>
      <w:r w:rsidR="003236E7">
        <w:t>consid</w:t>
      </w:r>
      <w:r w:rsidR="0015086B">
        <w:t>e</w:t>
      </w:r>
      <w:r w:rsidR="003236E7">
        <w:t>ration</w:t>
      </w:r>
      <w:r w:rsidR="0086644F">
        <w:t xml:space="preserve"> by humans</w:t>
      </w:r>
      <w:r>
        <w:t xml:space="preserve">. </w:t>
      </w:r>
    </w:p>
    <w:p w:rsidR="003F291B" w:rsidRDefault="003F291B" w:rsidP="008F2687"/>
    <w:p w:rsidR="008F2687" w:rsidRDefault="008F2687" w:rsidP="008F2687">
      <w:r>
        <w:t xml:space="preserve">Further, training of analysts and commanders alike can </w:t>
      </w:r>
      <w:r w:rsidR="0015086B">
        <w:t>help to counteract</w:t>
      </w:r>
      <w:r>
        <w:t xml:space="preserve"> the tendency to assume that friends and foes will act as antic</w:t>
      </w:r>
      <w:r>
        <w:t>i</w:t>
      </w:r>
      <w:r>
        <w:t>pated.</w:t>
      </w:r>
      <w:r w:rsidR="0009527E">
        <w:t xml:space="preserve"> Care can be</w:t>
      </w:r>
      <w:r w:rsidR="003236E7">
        <w:t>,</w:t>
      </w:r>
      <w:r w:rsidR="0009527E">
        <w:t xml:space="preserve"> and should be</w:t>
      </w:r>
      <w:r w:rsidR="003236E7">
        <w:t>,</w:t>
      </w:r>
      <w:r w:rsidR="0009527E">
        <w:t xml:space="preserve"> taken to program systems not to </w:t>
      </w:r>
      <w:r w:rsidR="0015086B">
        <w:t>extrapolate</w:t>
      </w:r>
      <w:r w:rsidR="0009527E">
        <w:t xml:space="preserve"> observed behaviors </w:t>
      </w:r>
      <w:r w:rsidR="0015086B">
        <w:t>into dictates</w:t>
      </w:r>
      <w:r w:rsidR="0009527E">
        <w:t xml:space="preserve"> so invariable as to be </w:t>
      </w:r>
      <w:r w:rsidR="0015086B">
        <w:t>misleading</w:t>
      </w:r>
      <w:r w:rsidR="0009527E">
        <w:t>. Knowing the speed with which armies move, the Germans underestimated the time it would take General Paton to swing his Third Army North and relieve Bastogne.</w:t>
      </w:r>
      <w:r w:rsidR="00311155">
        <w:t xml:space="preserve"> </w:t>
      </w:r>
      <w:r w:rsidR="0009527E">
        <w:t xml:space="preserve">Again, the approach should be to convey the typical, with </w:t>
      </w:r>
      <w:r w:rsidR="0086644F">
        <w:t>an additional</w:t>
      </w:r>
      <w:r w:rsidR="0009527E">
        <w:t xml:space="preserve"> graphical represe</w:t>
      </w:r>
      <w:r w:rsidR="0009527E">
        <w:t>n</w:t>
      </w:r>
      <w:r w:rsidR="0009527E">
        <w:t>tation of the physically possible.</w:t>
      </w:r>
      <w:r w:rsidR="00311155">
        <w:t xml:space="preserve"> </w:t>
      </w:r>
      <w:r w:rsidR="0009527E">
        <w:t>The analysts and commanders need to be reminded that in the stress of battle, soldiers can do things thought impossible.</w:t>
      </w:r>
      <w:r w:rsidR="00311155">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w:t>
      </w:r>
      <w:r w:rsidR="0022108E">
        <w:t xml:space="preserve"> (</w:t>
      </w:r>
      <w:proofErr w:type="spellStart"/>
      <w:r w:rsidR="0022108E">
        <w:t>Doleisch</w:t>
      </w:r>
      <w:proofErr w:type="spellEnd"/>
      <w:r w:rsidR="0022108E">
        <w:t>, 2003)</w:t>
      </w:r>
      <w:r>
        <w:t>.</w:t>
      </w:r>
      <w:r w:rsidR="00311155">
        <w:t xml:space="preserve"> </w:t>
      </w:r>
      <w:r w:rsidR="005406FE">
        <w:t xml:space="preserve">But, as others observe, there is an open challenge </w:t>
      </w:r>
      <w:r w:rsidR="0086644F">
        <w:t xml:space="preserve">here: how </w:t>
      </w:r>
      <w:r w:rsidR="005406FE">
        <w:t xml:space="preserve">to optimally match the visualization approach to the specific issues confronting the defense personnel who are faced with the </w:t>
      </w:r>
      <w:r w:rsidR="0086644F">
        <w:t>demanding</w:t>
      </w:r>
      <w:r w:rsidR="005406FE">
        <w:t xml:space="preserve">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xml:space="preserve">, evolutionary or genetic computing is </w:t>
      </w:r>
      <w:r w:rsidR="0086644F">
        <w:t xml:space="preserve">nevertheless </w:t>
      </w:r>
      <w:r>
        <w:t>very under-utilized in battlespace simulation and analysis. Entity behaviors are typically based on doctrine or observed actions.</w:t>
      </w:r>
      <w:r w:rsidR="00311155">
        <w:t xml:space="preserve"> </w:t>
      </w:r>
      <w:r w:rsidR="00B22B77">
        <w:t>They usually do not learn, morph</w:t>
      </w:r>
      <w:r w:rsidR="00D33BB5">
        <w:t>,</w:t>
      </w:r>
      <w:r w:rsidR="00B22B77">
        <w:t xml:space="preserve"> or evolve, which sets them apart from the humans for whom they are avatars.</w:t>
      </w:r>
      <w:r w:rsidR="00311155">
        <w:t xml:space="preserve"> </w:t>
      </w:r>
      <w:r w:rsidR="00B22B77">
        <w:t xml:space="preserve">The command structures of most modern armies have been accused of training to fight the </w:t>
      </w:r>
      <w:r w:rsidR="00B22B77">
        <w:lastRenderedPageBreak/>
        <w:t>“last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strategies and tactics, </w:t>
      </w:r>
      <w:r w:rsidR="00B22B77" w:rsidRPr="00502E34">
        <w:rPr>
          <w:i/>
        </w:rPr>
        <w:t>e.g</w:t>
      </w:r>
      <w:r w:rsidR="00B22B77">
        <w:t xml:space="preserve">. flying commercial aircraft into tall buildings. </w:t>
      </w:r>
      <w:r w:rsidR="00502E34">
        <w:t>Randomly seeded evolutionary computing may take both the commander and the analyst down roads they otherwise would never have conceived.</w:t>
      </w:r>
      <w:r w:rsidR="00311155">
        <w:t xml:space="preserve"> </w:t>
      </w:r>
    </w:p>
    <w:p w:rsidR="00502E34" w:rsidRDefault="00502E34" w:rsidP="00707785"/>
    <w:p w:rsidR="0086644F" w:rsidRDefault="00502E34" w:rsidP="00707785">
      <w:r>
        <w:t>However, there are hurdles to this use.</w:t>
      </w:r>
      <w:r w:rsidR="00311155">
        <w:t xml:space="preserve"> </w:t>
      </w:r>
      <w:r>
        <w:t>Evol</w:t>
      </w:r>
      <w:r>
        <w:t>u</w:t>
      </w:r>
      <w:r>
        <w:t>tionary computing is based on treating data that is sparse and behaviors that are spare in order to run the sufficient numbers of iter</w:t>
      </w:r>
      <w:r>
        <w:t>a</w:t>
      </w:r>
      <w:r w:rsidR="00913BEF">
        <w:t>tions to get the</w:t>
      </w:r>
      <w:r>
        <w:t xml:space="preserve"> benefits of evolution.</w:t>
      </w:r>
      <w:r w:rsidR="00311155">
        <w:t xml:space="preserve"> </w:t>
      </w:r>
      <w:r>
        <w:t>With simulations of ten million entities, each with complex behaviors, implementation of evol</w:t>
      </w:r>
      <w:r>
        <w:t>u</w:t>
      </w:r>
      <w:r>
        <w:t>tionary computing will require thoughtful, i</w:t>
      </w:r>
      <w:r>
        <w:t>n</w:t>
      </w:r>
      <w:r>
        <w:t>novative and efficient program codes.</w:t>
      </w:r>
      <w:r w:rsidR="00311155">
        <w:t xml:space="preserve"> </w:t>
      </w:r>
      <w:r>
        <w:t>A prenascent capability that may soon be avail</w:t>
      </w:r>
      <w:r>
        <w:t>a</w:t>
      </w:r>
      <w:r>
        <w:t>ble is the use of Quantum Computing to en</w:t>
      </w:r>
      <w:r>
        <w:t>a</w:t>
      </w:r>
      <w:r>
        <w:t>ble evolutionary modules</w:t>
      </w:r>
      <w:r w:rsidR="0086644F">
        <w:t xml:space="preserve"> to generate entity “learning”</w:t>
      </w:r>
    </w:p>
    <w:p w:rsidR="00502E34" w:rsidRDefault="00502E34" w:rsidP="00707785">
      <w:r>
        <w:t xml:space="preserve"> in the simulation </w:t>
      </w:r>
      <w:r w:rsidR="00E96CDB">
        <w:t>code base.</w:t>
      </w:r>
      <w:r w:rsidR="00311155">
        <w:t xml:space="preserv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t xml:space="preserve">ing and what happened has </w:t>
      </w:r>
      <w:r w:rsidR="0086644F">
        <w:t>contributed to the</w:t>
      </w:r>
      <w:r>
        <w:t xml:space="preserve"> quandary for both commander and historian alike.</w:t>
      </w:r>
      <w:r w:rsidR="00311155">
        <w:t xml:space="preserve"> </w:t>
      </w:r>
      <w:r>
        <w:t>New generation</w:t>
      </w:r>
      <w:r w:rsidR="0015086B">
        <w:t>s</w:t>
      </w:r>
      <w:r>
        <w:t xml:space="preserve"> of sensor, new systems of </w:t>
      </w:r>
      <w:r w:rsidR="00EC511E">
        <w:t>data management</w:t>
      </w:r>
      <w:r>
        <w:t xml:space="preserve"> and new channels of communications have </w:t>
      </w:r>
      <w:r w:rsidR="00EC511E">
        <w:t xml:space="preserve">often </w:t>
      </w:r>
      <w:r>
        <w:t xml:space="preserve">more </w:t>
      </w:r>
      <w:r w:rsidR="0086644F">
        <w:t>ove</w:t>
      </w:r>
      <w:r w:rsidR="0086644F">
        <w:t>r</w:t>
      </w:r>
      <w:r w:rsidR="0086644F">
        <w:t>whelmed</w:t>
      </w:r>
      <w:r>
        <w:t xml:space="preserve"> than assisted in this quest. More for want of will than lack of technology, this co</w:t>
      </w:r>
      <w:r>
        <w:t>n</w:t>
      </w:r>
      <w:r>
        <w:t>dition persists today.</w:t>
      </w:r>
      <w:r w:rsidR="00311155">
        <w:t xml:space="preserve"> </w:t>
      </w:r>
      <w:r>
        <w:t xml:space="preserve">The preceding sections have outlined where we were, where we are and where we may go, using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w:t>
      </w:r>
      <w:r w:rsidR="00311155">
        <w:t xml:space="preserve"> </w:t>
      </w:r>
      <w:r w:rsidR="003D0F3F">
        <w:t>Some technologies are productively impl</w:t>
      </w:r>
      <w:r w:rsidR="003D0F3F">
        <w:t>e</w:t>
      </w:r>
      <w:r w:rsidR="003D0F3F">
        <w:t>mentable as this is written; some are emerging and will need time for testing and evaluation.</w:t>
      </w:r>
      <w:r w:rsidR="00311155">
        <w:t xml:space="preserve"> </w:t>
      </w:r>
      <w:r w:rsidR="003D0F3F">
        <w:lastRenderedPageBreak/>
        <w:t xml:space="preserve">All will need </w:t>
      </w:r>
      <w:r w:rsidR="0086644F">
        <w:t>validation</w:t>
      </w:r>
      <w:r w:rsidR="003D0F3F">
        <w:t xml:space="preserve"> in </w:t>
      </w:r>
      <w:r w:rsidR="0086644F">
        <w:t>the</w:t>
      </w:r>
      <w:r w:rsidR="00874B26">
        <w:t>ir</w:t>
      </w:r>
      <w:r w:rsidR="0086644F">
        <w:t xml:space="preserve"> use in simul</w:t>
      </w:r>
      <w:r w:rsidR="0086644F">
        <w:t>a</w:t>
      </w:r>
      <w:r w:rsidR="0086644F">
        <w:t>tion and acceptance in</w:t>
      </w:r>
      <w:r w:rsidR="00874B26">
        <w:t xml:space="preserve"> </w:t>
      </w:r>
      <w:r w:rsidR="003D0F3F">
        <w:t>the caldron of combat.</w:t>
      </w:r>
      <w:r w:rsidR="00311155">
        <w:t xml:space="preserve"> </w:t>
      </w:r>
    </w:p>
    <w:p w:rsidR="003D0F3F" w:rsidRDefault="003D0F3F" w:rsidP="00EF6BB1"/>
    <w:p w:rsidR="00EF6BB1" w:rsidRDefault="00C411C8" w:rsidP="00C411C8">
      <w:pPr>
        <w:pStyle w:val="GAPTMA-Head"/>
      </w:pPr>
      <w:r>
        <w:t>Author Biographies</w:t>
      </w:r>
    </w:p>
    <w:p w:rsidR="00EF6BB1" w:rsidRPr="00F053B1" w:rsidRDefault="00EF6BB1" w:rsidP="00F053B1">
      <w:pPr>
        <w:jc w:val="left"/>
      </w:pPr>
    </w:p>
    <w:p w:rsidR="00C411C8" w:rsidRPr="00C411C8" w:rsidRDefault="00C411C8" w:rsidP="00C411C8">
      <w:pPr>
        <w:spacing w:after="200"/>
        <w:rPr>
          <w:b/>
        </w:rPr>
      </w:pPr>
      <w:r w:rsidRPr="00C411C8">
        <w:rPr>
          <w:b/>
        </w:rPr>
        <w:t xml:space="preserve">Philip Amburn </w:t>
      </w:r>
      <w:r w:rsidRPr="00C411C8">
        <w:t>is an Adjunct Lecturer in the Computer Science Department of the Unive</w:t>
      </w:r>
      <w:r w:rsidRPr="00C411C8">
        <w:t>r</w:t>
      </w:r>
      <w:r w:rsidRPr="00C411C8">
        <w:t>sity of Arizona. Prior to that, he was a R</w:t>
      </w:r>
      <w:r w:rsidRPr="00C411C8">
        <w:t>e</w:t>
      </w:r>
      <w:r w:rsidRPr="00C411C8">
        <w:t>search Assistant Professor at Missi</w:t>
      </w:r>
      <w:r w:rsidRPr="00C411C8">
        <w:t>s</w:t>
      </w:r>
      <w:r w:rsidRPr="00C411C8">
        <w:t>sippi State University and also had taught as an Adjunct Faculty member at the Air Force Institute of Technology (AFIT). A</w:t>
      </w:r>
      <w:r w:rsidRPr="00C411C8">
        <w:t>f</w:t>
      </w:r>
      <w:r w:rsidRPr="00C411C8">
        <w:t>ter AFIT, he worked at Wright-Patterson AFB in Ohio for SAIC as the Forces Mo</w:t>
      </w:r>
      <w:r w:rsidRPr="00C411C8">
        <w:t>d</w:t>
      </w:r>
      <w:r w:rsidRPr="00C411C8">
        <w:t>eling and Simulation on-site advisor in Programming Environment and Training for the High Performance Comp</w:t>
      </w:r>
      <w:r w:rsidRPr="00C411C8">
        <w:t>u</w:t>
      </w:r>
      <w:r w:rsidRPr="00C411C8">
        <w:t>ting Modernization Program. His research interests are constructive and virtual simul</w:t>
      </w:r>
      <w:r w:rsidRPr="00C411C8">
        <w:t>a</w:t>
      </w:r>
      <w:r w:rsidRPr="00C411C8">
        <w:t>tion, interactive 3D graphics, and visualiz</w:t>
      </w:r>
      <w:r w:rsidRPr="00C411C8">
        <w:t>a</w:t>
      </w:r>
      <w:r w:rsidRPr="00C411C8">
        <w:t>tion. He retired as a Lieutenant Colonel from the United States Air Force. Dr. Amburn r</w:t>
      </w:r>
      <w:r w:rsidRPr="00C411C8">
        <w:t>e</w:t>
      </w:r>
      <w:r w:rsidRPr="00C411C8">
        <w:t>ceived a BS degree in Physics from Kansas State Teachers College, his MSCS degree from AFIT, and his Ph.D. degree in Computer Sc</w:t>
      </w:r>
      <w:r w:rsidRPr="00C411C8">
        <w:t>i</w:t>
      </w:r>
      <w:r w:rsidRPr="00C411C8">
        <w:t>ence from the University of North Carolina, Chapel Hill.</w:t>
      </w:r>
    </w:p>
    <w:p w:rsidR="00C411C8" w:rsidRPr="00C411C8" w:rsidRDefault="00C411C8" w:rsidP="00C411C8">
      <w:pPr>
        <w:spacing w:after="200"/>
      </w:pPr>
      <w:r w:rsidRPr="00C411C8">
        <w:rPr>
          <w:b/>
        </w:rPr>
        <w:t xml:space="preserve">Dan M. Davis </w:t>
      </w:r>
      <w:r w:rsidRPr="00C411C8">
        <w:t>is a consultant for the Info</w:t>
      </w:r>
      <w:r w:rsidRPr="00C411C8">
        <w:t>r</w:t>
      </w:r>
      <w:r w:rsidRPr="00C411C8">
        <w:t xml:space="preserve">mation Sciences Institute, University of Southern California, focusing on large-scale distributed </w:t>
      </w:r>
      <w:proofErr w:type="gramStart"/>
      <w:r w:rsidRPr="00C411C8">
        <w:t>DoD</w:t>
      </w:r>
      <w:proofErr w:type="gramEnd"/>
      <w:r w:rsidRPr="00C411C8">
        <w:t xml:space="preserve"> simulations. His service there was capped by his being the Director of the JESPP project for a de</w:t>
      </w:r>
      <w:r w:rsidRPr="00C411C8">
        <w:t>c</w:t>
      </w:r>
      <w:r w:rsidRPr="00C411C8">
        <w:t>ade. Earlier, as Assistant Director of the Center for A</w:t>
      </w:r>
      <w:r w:rsidRPr="00C411C8">
        <w:t>d</w:t>
      </w:r>
      <w:r w:rsidRPr="00C411C8">
        <w:t xml:space="preserve">vanced Computing Research at Caltech, he managed Synthetic Forces Express, bringing HPC to </w:t>
      </w:r>
      <w:proofErr w:type="gramStart"/>
      <w:r w:rsidRPr="00C411C8">
        <w:t>DoD</w:t>
      </w:r>
      <w:proofErr w:type="gramEnd"/>
      <w:r w:rsidRPr="00C411C8">
        <w:t xml:space="preserve"> simul</w:t>
      </w:r>
      <w:r w:rsidRPr="00C411C8">
        <w:t>a</w:t>
      </w:r>
      <w:r w:rsidRPr="00C411C8">
        <w:t>tions. Prior experience includes serving as a Director at the Maui High Performance Computing Center and as a Software Engineer at the Jet Propulsion L</w:t>
      </w:r>
      <w:r w:rsidRPr="00C411C8">
        <w:t>a</w:t>
      </w:r>
      <w:r w:rsidRPr="00C411C8">
        <w:t xml:space="preserve">boratory and Martin Marietta. He has served as the Chairman of the Coalition of Academic Supercomputing Centers and has taught at the undergraduate and graduate levels. As early as 1971, Dan was writing programs in FORTRAN on one of Seymour Cray’s CDC </w:t>
      </w:r>
      <w:r w:rsidRPr="00C411C8">
        <w:lastRenderedPageBreak/>
        <w:t>6500’s. He saw duty in V</w:t>
      </w:r>
      <w:r w:rsidRPr="00C411C8">
        <w:t>i</w:t>
      </w:r>
      <w:r w:rsidRPr="00C411C8">
        <w:t xml:space="preserve">etnam as a USMC Cryptologist and retired as a Commander, </w:t>
      </w:r>
      <w:proofErr w:type="spellStart"/>
      <w:r w:rsidRPr="00C411C8">
        <w:t>Cryptologic</w:t>
      </w:r>
      <w:proofErr w:type="spellEnd"/>
      <w:r w:rsidRPr="00C411C8">
        <w:t xml:space="preserve"> Specialty, </w:t>
      </w:r>
      <w:proofErr w:type="gramStart"/>
      <w:r w:rsidRPr="00C411C8">
        <w:t>U.S.N.R</w:t>
      </w:r>
      <w:proofErr w:type="gramEnd"/>
      <w:r w:rsidRPr="00C411C8">
        <w:t>. He received B.A. and J.D. d</w:t>
      </w:r>
      <w:r w:rsidRPr="00C411C8">
        <w:t>e</w:t>
      </w:r>
      <w:r w:rsidRPr="00C411C8">
        <w:t>grees from the University of Colorado in Boulder.</w:t>
      </w:r>
    </w:p>
    <w:p w:rsidR="00C411C8" w:rsidRPr="00C411C8" w:rsidRDefault="00C411C8" w:rsidP="00C411C8">
      <w:pPr>
        <w:spacing w:after="200"/>
        <w:rPr>
          <w:b/>
        </w:rPr>
      </w:pPr>
      <w:r w:rsidRPr="00C411C8">
        <w:rPr>
          <w:b/>
        </w:rPr>
        <w:t xml:space="preserve">Robert F. Lucas </w:t>
      </w:r>
      <w:r w:rsidRPr="00C411C8">
        <w:t>is a Deputy Director of the Information Sciences Institute at the Univers</w:t>
      </w:r>
      <w:r w:rsidRPr="00C411C8">
        <w:t>i</w:t>
      </w:r>
      <w:r w:rsidRPr="00C411C8">
        <w:t>ty of Southern California and leads the Co</w:t>
      </w:r>
      <w:r w:rsidRPr="00C411C8">
        <w:t>m</w:t>
      </w:r>
      <w:r w:rsidRPr="00C411C8">
        <w:t>putational Sciences Div</w:t>
      </w:r>
      <w:r w:rsidRPr="00C411C8">
        <w:t>i</w:t>
      </w:r>
      <w:r w:rsidRPr="00C411C8">
        <w:t>sion. He is a Research Associate Professor in the USC Department of Computer Science. At ISI he manages r</w:t>
      </w:r>
      <w:r w:rsidRPr="00C411C8">
        <w:t>e</w:t>
      </w:r>
      <w:r w:rsidRPr="00C411C8">
        <w:t>search in computer architectures, VLSI, co</w:t>
      </w:r>
      <w:r w:rsidRPr="00C411C8">
        <w:t>m</w:t>
      </w:r>
      <w:r w:rsidRPr="00C411C8">
        <w:t>pilers, and other software tools. He was the principal investigator on the JESPP project from 2002 to 2011, which first implemented GPU acceleration in high performance co</w:t>
      </w:r>
      <w:r w:rsidRPr="00C411C8">
        <w:t>m</w:t>
      </w:r>
      <w:r w:rsidRPr="00C411C8">
        <w:t>puting for battlefield simulations. Prior to joining ISI, he did tours as the Dire</w:t>
      </w:r>
      <w:r w:rsidRPr="00C411C8">
        <w:t>c</w:t>
      </w:r>
      <w:r w:rsidRPr="00C411C8">
        <w:t>tor of High Performance Computing R</w:t>
      </w:r>
      <w:r w:rsidRPr="00C411C8">
        <w:t>e</w:t>
      </w:r>
      <w:r w:rsidRPr="00C411C8">
        <w:t xml:space="preserve">search for NERSC at LBNL, the Deputy Director of </w:t>
      </w:r>
      <w:r w:rsidRPr="00C411C8">
        <w:lastRenderedPageBreak/>
        <w:t>DARPA's ITO, and a researcher at the Inst</w:t>
      </w:r>
      <w:r w:rsidRPr="00C411C8">
        <w:t>i</w:t>
      </w:r>
      <w:r w:rsidRPr="00C411C8">
        <w:t>tute for Defense Analyses, supporting the N</w:t>
      </w:r>
      <w:r w:rsidRPr="00C411C8">
        <w:t>a</w:t>
      </w:r>
      <w:r w:rsidRPr="00C411C8">
        <w:t>tional Security Agency. Dr. Lucas earned BS, MS, and PhD degrees in Electrical Enginee</w:t>
      </w:r>
      <w:r w:rsidRPr="00C411C8">
        <w:t>r</w:t>
      </w:r>
      <w:r w:rsidRPr="00C411C8">
        <w:t>ing from Stanford University</w:t>
      </w:r>
      <w:r w:rsidRPr="00C411C8">
        <w:rPr>
          <w:b/>
        </w:rPr>
        <w:t>.</w:t>
      </w:r>
    </w:p>
    <w:p w:rsidR="00C411C8" w:rsidRPr="00C411C8" w:rsidRDefault="00C411C8" w:rsidP="00C411C8">
      <w:pPr>
        <w:spacing w:after="200"/>
      </w:pPr>
      <w:r w:rsidRPr="00C411C8">
        <w:rPr>
          <w:b/>
        </w:rPr>
        <w:t xml:space="preserve">Gene Wagenbreth </w:t>
      </w:r>
      <w:r w:rsidRPr="00C411C8">
        <w:t>is a Systems Analyst for Parallel Processing at USC’s ISI, doing r</w:t>
      </w:r>
      <w:r w:rsidRPr="00C411C8">
        <w:t>e</w:t>
      </w:r>
      <w:r w:rsidRPr="00C411C8">
        <w:t>search in the Computational Sciences Div</w:t>
      </w:r>
      <w:r w:rsidRPr="00C411C8">
        <w:t>i</w:t>
      </w:r>
      <w:r w:rsidRPr="00C411C8">
        <w:t>sion. Prior positions have included Vice Pre</w:t>
      </w:r>
      <w:r w:rsidRPr="00C411C8">
        <w:t>s</w:t>
      </w:r>
      <w:r w:rsidRPr="00C411C8">
        <w:t>ident and Chief Architect at A</w:t>
      </w:r>
      <w:r w:rsidRPr="00C411C8">
        <w:t>p</w:t>
      </w:r>
      <w:r w:rsidRPr="00C411C8">
        <w:t>plied Parallel Research and Lead Programmer at Pacific S</w:t>
      </w:r>
      <w:r w:rsidRPr="00C411C8">
        <w:t>i</w:t>
      </w:r>
      <w:r w:rsidRPr="00C411C8">
        <w:t>erra Research, pr</w:t>
      </w:r>
      <w:r w:rsidRPr="00C411C8">
        <w:t>o</w:t>
      </w:r>
      <w:r w:rsidRPr="00C411C8">
        <w:t>ducing tools for distributed and shared memory parallelization of FORTRAN code. Gene has been progra</w:t>
      </w:r>
      <w:r w:rsidRPr="00C411C8">
        <w:t>m</w:t>
      </w:r>
      <w:r w:rsidRPr="00C411C8">
        <w:t>ming for high performance computers since 1972. He has taught courses in GPGPU a</w:t>
      </w:r>
      <w:r w:rsidRPr="00C411C8">
        <w:t>c</w:t>
      </w:r>
      <w:r w:rsidRPr="00C411C8">
        <w:t>celeration and lectures on parallel progra</w:t>
      </w:r>
      <w:r w:rsidRPr="00C411C8">
        <w:t>m</w:t>
      </w:r>
      <w:r w:rsidRPr="00C411C8">
        <w:t>ming techniques at USC. He received a BS in Math/Computer Science from the University of Illinois.</w:t>
      </w:r>
    </w:p>
    <w:p w:rsidR="00EF6BB1" w:rsidRDefault="00EF6BB1" w:rsidP="00C411C8">
      <w:pPr>
        <w:spacing w:after="200"/>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r w:rsidR="00EA1328" w:rsidRPr="00EA1328">
        <w:rPr>
          <w:i/>
        </w:rPr>
        <w:t>P</w:t>
      </w:r>
      <w:r w:rsidR="00EA1328" w:rsidRPr="00D95831">
        <w:rPr>
          <w:i/>
        </w:rPr>
        <w:t>redictably</w:t>
      </w:r>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r w:rsidRPr="00EA1328">
        <w:rPr>
          <w:i/>
        </w:rPr>
        <w:t>The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r w:rsidR="00C17E5B">
        <w:rPr>
          <w:szCs w:val="13"/>
        </w:rPr>
        <w:t xml:space="preserve"> .</w:t>
      </w:r>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22108E" w:rsidRDefault="0022108E" w:rsidP="0022108E">
      <w:pPr>
        <w:pStyle w:val="Refs"/>
        <w:ind w:left="720" w:hanging="360"/>
      </w:pPr>
      <w:proofErr w:type="spellStart"/>
      <w:r>
        <w:lastRenderedPageBreak/>
        <w:t>Doleisch</w:t>
      </w:r>
      <w:proofErr w:type="spellEnd"/>
      <w:r>
        <w:t>, H., Gasser, M., &amp;  Hauser</w:t>
      </w:r>
      <w:r w:rsidRPr="0022108E">
        <w:t xml:space="preserve"> </w:t>
      </w:r>
      <w:r>
        <w:t xml:space="preserve">H., (2003), Inter-active feature specification forcus+context visualization of complex simulation data, In Proceedings of the </w:t>
      </w:r>
      <w:r w:rsidRPr="0022108E">
        <w:rPr>
          <w:i/>
        </w:rPr>
        <w:t xml:space="preserve">5th Joint IEEE TCVG - EUROGRAPHICS Symposium on Visualization </w:t>
      </w:r>
      <w:r>
        <w:t>(Vis-Sym 2003), ACM Press, 2003</w:t>
      </w:r>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http://legacy.hazard.kctcs.edu/VARK/introduction.htm</w:t>
      </w:r>
      <w:r>
        <w:rPr>
          <w:szCs w:val="13"/>
        </w:rPr>
        <w:t xml:space="preserve"> .</w:t>
      </w:r>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r w:rsidR="008E1386" w:rsidRPr="0003485A">
        <w:rPr>
          <w:szCs w:val="13"/>
        </w:rPr>
        <w:t>York:</w:t>
      </w:r>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w:t>
      </w:r>
      <w:r w:rsidR="00311155">
        <w:t xml:space="preserve">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The Road to Successful Joint E</w:t>
      </w:r>
      <w:r w:rsidRPr="00B75916">
        <w:t>x</w:t>
      </w:r>
      <w:r w:rsidRPr="00B75916">
        <w:t xml:space="preserve">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Brumback, B., </w:t>
      </w:r>
      <w:r w:rsidR="006637D1">
        <w:t>(</w:t>
      </w:r>
      <w:r w:rsidRPr="00EF5DD6">
        <w:t>2002</w:t>
      </w:r>
      <w:r w:rsidR="006637D1">
        <w:t>)</w:t>
      </w:r>
      <w:r w:rsidRPr="00EF5DD6">
        <w:t>, An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Harvey, O. J., White, B. J., Hood, W. R., &amp; Sherif, C. W.</w:t>
      </w:r>
      <w:r>
        <w:t>, (1961),</w:t>
      </w:r>
      <w:r w:rsidRPr="00124297">
        <w:t xml:space="preserve"> </w:t>
      </w:r>
      <w:r w:rsidRPr="00124297">
        <w:rPr>
          <w:i/>
        </w:rPr>
        <w:t>Intergroup conflict and cooperation: The Robbers Cave experiment</w:t>
      </w:r>
      <w:r w:rsidRPr="00124297">
        <w:t xml:space="preserve"> (Vol. 10). Norman, OK: University Book Exchange.</w:t>
      </w:r>
    </w:p>
    <w:p w:rsidR="00C3426E" w:rsidRDefault="00C3426E" w:rsidP="00EF5DD6">
      <w:pPr>
        <w:pStyle w:val="Refs"/>
        <w:ind w:left="720" w:hanging="360"/>
      </w:pPr>
      <w:r w:rsidRPr="00EF5DD6">
        <w:t>Kadlec,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r w:rsidRPr="00521906">
        <w:rPr>
          <w:i/>
        </w:rPr>
        <w:t>Thinking,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r>
        <w:t>,</w:t>
      </w:r>
      <w:r w:rsidR="00311155">
        <w:t xml:space="preserve"> </w:t>
      </w:r>
      <w:r w:rsidRPr="00204B6B">
        <w:t>New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w:t>
      </w:r>
      <w:r w:rsidR="00311155">
        <w:t xml:space="preserve"> </w:t>
      </w:r>
      <w:r w:rsidRPr="00A66665">
        <w:t>http://www.kmweg.com/home/training-simulation/gunnery-and-combat-training/turret-trainer/product-information.html</w:t>
      </w:r>
      <w:r w:rsidR="00311155">
        <w:t xml:space="preserve"> </w:t>
      </w:r>
    </w:p>
    <w:p w:rsidR="0059154F" w:rsidRDefault="0059154F" w:rsidP="00EF5DD6">
      <w:pPr>
        <w:pStyle w:val="Refs"/>
        <w:ind w:left="720" w:hanging="360"/>
      </w:pPr>
      <w:r w:rsidRPr="00EF5DD6">
        <w:t>Lefohn, A., (2004)</w:t>
      </w:r>
      <w:r w:rsidR="00C3426E" w:rsidRPr="00EF5DD6">
        <w:t>,</w:t>
      </w:r>
      <w:r w:rsidRPr="00EF5DD6">
        <w:t xml:space="preserve"> GPGPU: General Purpose Computation on Graphics Processors. In </w:t>
      </w:r>
      <w:r w:rsidRPr="00EF5DD6">
        <w:rPr>
          <w:i/>
        </w:rPr>
        <w:t>IEEE Visualization 2004 Tutorials</w:t>
      </w:r>
      <w:r w:rsidRPr="00EF5DD6">
        <w:t>, Austin, Texas, October 10, 2004, IEEE Computer Society</w:t>
      </w:r>
      <w:r w:rsidR="006637D1">
        <w:t>.</w:t>
      </w:r>
      <w:r w:rsidRPr="00EF5DD6">
        <w:t xml:space="preserve"> </w:t>
      </w:r>
    </w:p>
    <w:p w:rsidR="008E2CC4" w:rsidRPr="00687C9C" w:rsidRDefault="00085176" w:rsidP="00687C9C">
      <w:pPr>
        <w:pStyle w:val="Refs"/>
        <w:ind w:left="720" w:hanging="360"/>
        <w:jc w:val="left"/>
      </w:pPr>
      <w:r>
        <w:t xml:space="preserve">Lo, C. C. &amp; Morton, J. J. L., (2014), Will Silicon Save Quantum Computing?, </w:t>
      </w:r>
      <w:r w:rsidRPr="008E1386">
        <w:rPr>
          <w:i/>
        </w:rPr>
        <w:t>IEEE Spectrum</w:t>
      </w:r>
      <w:r>
        <w:t>, R</w:t>
      </w:r>
      <w:r>
        <w:t>e</w:t>
      </w:r>
      <w:r>
        <w:t>trieved on 12 Sep 2014 from:</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630181/virtual-reality-VR/253104/Education-and-training</w:t>
      </w:r>
      <w:r>
        <w:t xml:space="preserve"> .</w:t>
      </w:r>
    </w:p>
    <w:p w:rsidR="008E2CC4" w:rsidRPr="00EF5DD6" w:rsidRDefault="008E2CC4" w:rsidP="008E2CC4">
      <w:pPr>
        <w:pStyle w:val="Refs"/>
        <w:ind w:left="720" w:hanging="360"/>
      </w:pPr>
      <w:r>
        <w:lastRenderedPageBreak/>
        <w:t xml:space="preserve"> 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 ,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t xml:space="preserve">Messina, P., Davis, D. </w:t>
      </w:r>
      <w:r w:rsidRPr="00013383">
        <w:rPr>
          <w:i/>
        </w:rPr>
        <w:t>et al</w:t>
      </w:r>
      <w:r w:rsidRPr="00013383">
        <w:t>., (1997</w:t>
      </w:r>
      <w:r>
        <w:t>a</w:t>
      </w:r>
      <w:r w:rsidRPr="00013383">
        <w:t>) "Synthetic Forces Express: A New Initiative in Scalable Computing for Military Simulations.",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http://simple.wikipedia.org/wiki/Quantum_mechanics</w:t>
      </w:r>
      <w:r w:rsidR="007D5EDF">
        <w:t xml:space="preserve"> .</w:t>
      </w:r>
    </w:p>
    <w:p w:rsidR="00FC5C65" w:rsidRDefault="00FC5C65" w:rsidP="00FC5C65">
      <w:pPr>
        <w:pStyle w:val="Refs"/>
        <w:ind w:left="720" w:hanging="360"/>
      </w:pPr>
      <w:r>
        <w:t>Surdu, J. &amp;</w:t>
      </w:r>
      <w:r w:rsidR="00311155">
        <w:t xml:space="preserve"> </w:t>
      </w:r>
      <w:r>
        <w:t>Kitka,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r w:rsidR="00311155">
        <w:t xml:space="preserve"> </w:t>
      </w:r>
      <w:r>
        <w:t>Volume 1, Art</w:t>
      </w:r>
      <w:r>
        <w:t>i</w:t>
      </w:r>
      <w:r>
        <w:t>cle 4</w:t>
      </w:r>
    </w:p>
    <w:p w:rsidR="00EA1243" w:rsidRDefault="001A2681" w:rsidP="00EF5DD6">
      <w:pPr>
        <w:pStyle w:val="Refs"/>
        <w:ind w:left="720" w:hanging="360"/>
      </w:pPr>
      <w:r w:rsidRPr="00EF5DD6">
        <w:t>Wang, Y., Bollig, E. F., Kadlec,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0F7" w:rsidRDefault="009D20F7" w:rsidP="004E5751">
      <w:r>
        <w:separator/>
      </w:r>
    </w:p>
  </w:endnote>
  <w:endnote w:type="continuationSeparator" w:id="0">
    <w:p w:rsidR="009D20F7" w:rsidRDefault="009D20F7"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D5" w:rsidRPr="00563BB4" w:rsidRDefault="00D230D5" w:rsidP="002515CE">
    <w:pPr>
      <w:pStyle w:val="Footer"/>
      <w:jc w:val="center"/>
      <w:rPr>
        <w:sz w:val="20"/>
      </w:rPr>
    </w:pPr>
    <w:r w:rsidRPr="00563BB4">
      <w:rPr>
        <w:sz w:val="20"/>
      </w:rPr>
      <w:t>© Copyright Dan Davis 2014</w:t>
    </w:r>
  </w:p>
  <w:p w:rsidR="00D230D5" w:rsidRDefault="00D230D5">
    <w:pPr>
      <w:pStyle w:val="Footer"/>
    </w:pPr>
  </w:p>
  <w:p w:rsidR="00D230D5" w:rsidRDefault="00D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0F7" w:rsidRDefault="009D20F7" w:rsidP="004E5751">
      <w:r>
        <w:separator/>
      </w:r>
    </w:p>
  </w:footnote>
  <w:footnote w:type="continuationSeparator" w:id="0">
    <w:p w:rsidR="009D20F7" w:rsidRDefault="009D20F7"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5C8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108E"/>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2F5E76"/>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3C12"/>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0D7B"/>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342"/>
    <w:rsid w:val="00741B0B"/>
    <w:rsid w:val="00742F22"/>
    <w:rsid w:val="007438FE"/>
    <w:rsid w:val="0074636D"/>
    <w:rsid w:val="00746BC8"/>
    <w:rsid w:val="00747C95"/>
    <w:rsid w:val="00751000"/>
    <w:rsid w:val="007511CA"/>
    <w:rsid w:val="00756C88"/>
    <w:rsid w:val="007614CA"/>
    <w:rsid w:val="007659C7"/>
    <w:rsid w:val="00775171"/>
    <w:rsid w:val="007770A7"/>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273B"/>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AF0"/>
    <w:rsid w:val="009A6E8C"/>
    <w:rsid w:val="009A78BC"/>
    <w:rsid w:val="009B26B8"/>
    <w:rsid w:val="009B33E1"/>
    <w:rsid w:val="009B65F3"/>
    <w:rsid w:val="009C51BF"/>
    <w:rsid w:val="009C7FED"/>
    <w:rsid w:val="009D20F7"/>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269BA"/>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C7C37"/>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3E61"/>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C04"/>
    <w:rsid w:val="00BC0F3B"/>
    <w:rsid w:val="00BC5036"/>
    <w:rsid w:val="00BC6E1F"/>
    <w:rsid w:val="00BD0838"/>
    <w:rsid w:val="00BD3E31"/>
    <w:rsid w:val="00BE10DA"/>
    <w:rsid w:val="00BE2EAA"/>
    <w:rsid w:val="00BE3EF3"/>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1C8"/>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0D5"/>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1B82"/>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2478"/>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817EA-2CDB-4EBC-8671-DC824605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5940</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2014-12-28T16:25:00Z</cp:lastPrinted>
  <dcterms:created xsi:type="dcterms:W3CDTF">2015-04-23T01:58:00Z</dcterms:created>
  <dcterms:modified xsi:type="dcterms:W3CDTF">2015-04-23T01:58:00Z</dcterms:modified>
</cp:coreProperties>
</file>