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Default="00735009" w:rsidP="00C4017A">
      <w:pPr>
        <w:pStyle w:val="Heading1"/>
      </w:pPr>
      <w:r w:rsidRPr="00735009">
        <w:t xml:space="preserve">System Engineering a </w:t>
      </w:r>
      <w:r>
        <w:br/>
      </w:r>
      <w:r w:rsidRPr="00735009">
        <w:t>Scalable Cyber Warfare</w:t>
      </w:r>
      <w:r>
        <w:t xml:space="preserve"> </w:t>
      </w:r>
      <w:r w:rsidRPr="00735009">
        <w:t>Test Environment</w:t>
      </w:r>
    </w:p>
    <w:p w:rsidR="00C4017A" w:rsidRPr="00C4017A" w:rsidRDefault="00C4017A" w:rsidP="00C4017A"/>
    <w:p w:rsidR="00D25D0B" w:rsidRPr="00C4017A" w:rsidRDefault="006A70D0" w:rsidP="00C4017A">
      <w:pPr>
        <w:jc w:val="center"/>
        <w:rPr>
          <w:b/>
          <w:sz w:val="28"/>
          <w:szCs w:val="28"/>
        </w:rPr>
      </w:pPr>
      <w:r w:rsidRPr="00C4017A">
        <w:rPr>
          <w:b/>
          <w:sz w:val="28"/>
          <w:szCs w:val="28"/>
        </w:rPr>
        <w:t xml:space="preserve">Ke-Thia Yao, John </w:t>
      </w:r>
      <w:r w:rsidR="008B114F" w:rsidRPr="00C4017A">
        <w:rPr>
          <w:b/>
          <w:sz w:val="28"/>
          <w:szCs w:val="28"/>
        </w:rPr>
        <w:t xml:space="preserve">J. </w:t>
      </w:r>
      <w:r w:rsidRPr="00C4017A">
        <w:rPr>
          <w:b/>
          <w:sz w:val="28"/>
          <w:szCs w:val="28"/>
        </w:rPr>
        <w:t xml:space="preserve">Tran, Dan M. Davis, Daniel P. Burns </w:t>
      </w:r>
      <w:r w:rsidR="008B114F" w:rsidRPr="00C4017A">
        <w:rPr>
          <w:b/>
          <w:sz w:val="28"/>
          <w:szCs w:val="28"/>
        </w:rPr>
        <w:t>&amp;</w:t>
      </w:r>
      <w:r w:rsidRPr="00C4017A">
        <w:rPr>
          <w:b/>
          <w:sz w:val="28"/>
          <w:szCs w:val="28"/>
        </w:rPr>
        <w:t xml:space="preserve"> Robert F. Lucas</w:t>
      </w:r>
    </w:p>
    <w:p w:rsidR="006A70D0" w:rsidRPr="00C4017A" w:rsidRDefault="006A70D0" w:rsidP="00C4017A">
      <w:pPr>
        <w:jc w:val="center"/>
        <w:rPr>
          <w:sz w:val="28"/>
          <w:szCs w:val="28"/>
        </w:rPr>
      </w:pPr>
      <w:r w:rsidRPr="00C4017A">
        <w:rPr>
          <w:sz w:val="28"/>
          <w:szCs w:val="28"/>
        </w:rPr>
        <w:t>Information Sciences Institute and Institute for Creative Technologies</w:t>
      </w:r>
    </w:p>
    <w:p w:rsidR="006A70D0" w:rsidRPr="00C4017A" w:rsidRDefault="006A70D0" w:rsidP="00C4017A">
      <w:pPr>
        <w:jc w:val="center"/>
        <w:rPr>
          <w:sz w:val="28"/>
          <w:szCs w:val="28"/>
        </w:rPr>
      </w:pPr>
      <w:r w:rsidRPr="00C4017A">
        <w:rPr>
          <w:sz w:val="28"/>
          <w:szCs w:val="28"/>
        </w:rPr>
        <w:t>University of Southern California</w:t>
      </w:r>
    </w:p>
    <w:p w:rsidR="00D25D0B" w:rsidRDefault="00D25D0B" w:rsidP="00C4017A"/>
    <w:p w:rsidR="00D25D0B" w:rsidRPr="00C4017A" w:rsidRDefault="00D96C26" w:rsidP="00C4017A">
      <w:pPr>
        <w:ind w:left="720" w:right="720"/>
        <w:rPr>
          <w:i/>
          <w:sz w:val="24"/>
          <w:szCs w:val="24"/>
        </w:rPr>
      </w:pPr>
      <w:r w:rsidRPr="00C4017A">
        <w:rPr>
          <w:i/>
          <w:sz w:val="24"/>
          <w:szCs w:val="24"/>
        </w:rPr>
        <w:t xml:space="preserve">The Test and Evaluation (T&amp;E) community is at the forefront of meeting the challenges presented by the cyber security attacks on U.S. infrastructure, industry and individuals.  </w:t>
      </w:r>
      <w:r w:rsidR="005A45B8">
        <w:rPr>
          <w:i/>
          <w:sz w:val="24"/>
          <w:szCs w:val="24"/>
        </w:rPr>
        <w:t>T</w:t>
      </w:r>
      <w:r w:rsidRPr="00C4017A">
        <w:rPr>
          <w:i/>
          <w:sz w:val="24"/>
          <w:szCs w:val="24"/>
        </w:rPr>
        <w:t>he Information Sc</w:t>
      </w:r>
      <w:r w:rsidRPr="00C4017A">
        <w:rPr>
          <w:i/>
          <w:sz w:val="24"/>
          <w:szCs w:val="24"/>
        </w:rPr>
        <w:t>i</w:t>
      </w:r>
      <w:r w:rsidRPr="00C4017A">
        <w:rPr>
          <w:i/>
          <w:sz w:val="24"/>
          <w:szCs w:val="24"/>
        </w:rPr>
        <w:t>ences Institute of the University of Southern California, along with personnel from the California Air National Guard and a major National Laboratory, have developed a set of simulations and techniques for use by small cyber security units. These new approaches should be directly applicable to the T&amp;E. This paper focuses on our research and development (R&amp;D) efforts, which used HPC to stand up this low-cost fully operable simulated cyberspace environment. The designers recognized the necessity of having effective methods of capturing, logging, archiving and displaying the resultant data</w:t>
      </w:r>
      <w:r w:rsidR="005A45B8">
        <w:rPr>
          <w:i/>
          <w:sz w:val="24"/>
          <w:szCs w:val="24"/>
        </w:rPr>
        <w:t xml:space="preserve">. </w:t>
      </w:r>
      <w:r w:rsidRPr="00C4017A">
        <w:rPr>
          <w:i/>
          <w:sz w:val="24"/>
          <w:szCs w:val="24"/>
        </w:rPr>
        <w:t>The paper will close with an analysis of the utility of this approach, its extensibility into other areas, and future research requirements.</w:t>
      </w:r>
    </w:p>
    <w:p w:rsidR="00D96C26" w:rsidRPr="00C4017A" w:rsidRDefault="00D96C26" w:rsidP="00C4017A">
      <w:pPr>
        <w:ind w:left="720" w:right="720"/>
        <w:rPr>
          <w:sz w:val="24"/>
          <w:szCs w:val="24"/>
        </w:rPr>
      </w:pPr>
    </w:p>
    <w:p w:rsidR="00D96C26" w:rsidRPr="00C4017A" w:rsidRDefault="00ED1A58" w:rsidP="00C4017A">
      <w:pPr>
        <w:ind w:left="720" w:right="720"/>
        <w:rPr>
          <w:sz w:val="24"/>
          <w:szCs w:val="24"/>
        </w:rPr>
      </w:pPr>
      <w:r w:rsidRPr="00C4017A">
        <w:rPr>
          <w:b/>
          <w:sz w:val="24"/>
          <w:szCs w:val="24"/>
        </w:rPr>
        <w:t>Key Words</w:t>
      </w:r>
      <w:r w:rsidRPr="00C4017A">
        <w:rPr>
          <w:sz w:val="24"/>
          <w:szCs w:val="24"/>
        </w:rPr>
        <w:t xml:space="preserve">: </w:t>
      </w:r>
      <w:r w:rsidR="00D96C26" w:rsidRPr="00C4017A">
        <w:rPr>
          <w:sz w:val="24"/>
          <w:szCs w:val="24"/>
        </w:rPr>
        <w:t xml:space="preserve">System Engineering, Cyber Security, Scalability, Small Units, </w:t>
      </w:r>
    </w:p>
    <w:p w:rsidR="00ED1A58" w:rsidRDefault="00ED1A58" w:rsidP="00C4017A">
      <w:pPr>
        <w:ind w:left="720" w:right="720"/>
      </w:pPr>
    </w:p>
    <w:p w:rsidR="00D96C26" w:rsidRDefault="00D96C26" w:rsidP="00C4017A"/>
    <w:p w:rsidR="00D96C26" w:rsidRDefault="00D96C26" w:rsidP="00C4017A">
      <w:pPr>
        <w:sectPr w:rsidR="00D96C26"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ED1A58" w:rsidRDefault="00BB3152" w:rsidP="00C4017A">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24.55pt;margin-top:7.4pt;width:30.45pt;height:29.5pt;z-index:251657728;mso-width-relative:margin;mso-height-relative:margin" filled="f" stroked="f">
            <v:textbox style="mso-next-textbox:#_x0000_s1026">
              <w:txbxContent>
                <w:p w:rsidR="00587012" w:rsidRPr="00C4017A" w:rsidRDefault="00587012" w:rsidP="00C4017A">
                  <w:pPr>
                    <w:rPr>
                      <w:sz w:val="52"/>
                    </w:rPr>
                  </w:pPr>
                  <w:r w:rsidRPr="00C4017A">
                    <w:rPr>
                      <w:sz w:val="52"/>
                    </w:rPr>
                    <w:t>T</w:t>
                  </w:r>
                </w:p>
              </w:txbxContent>
            </v:textbox>
          </v:shape>
        </w:pict>
      </w:r>
      <w:r>
        <w:rPr>
          <w:noProof/>
        </w:rPr>
        <w:pict>
          <v:shape id="_x0000_s1033" type="#_x0000_t202" style="position:absolute;left:0;text-align:left;margin-left:-10.6pt;margin-top:5.75pt;width:22.55pt;height:23.7pt;z-index:251658752" filled="f" stroked="f">
            <v:textbox style="mso-next-textbox:#_x0000_s1033">
              <w:txbxContent>
                <w:p w:rsidR="00587012" w:rsidRDefault="00587012" w:rsidP="00C4017A"/>
              </w:txbxContent>
            </v:textbox>
            <w10:wrap type="square"/>
          </v:shape>
        </w:pict>
      </w:r>
    </w:p>
    <w:p w:rsidR="00D819C1" w:rsidRPr="0073236C" w:rsidRDefault="00D819C1" w:rsidP="00C4017A">
      <w:pPr>
        <w:pStyle w:val="BodyText2"/>
        <w:tabs>
          <w:tab w:val="left" w:pos="900"/>
        </w:tabs>
        <w:rPr>
          <w:rFonts w:ascii="Garamond" w:hAnsi="Garamond"/>
          <w:sz w:val="24"/>
          <w:szCs w:val="24"/>
        </w:rPr>
      </w:pPr>
      <w:proofErr w:type="spellStart"/>
      <w:proofErr w:type="gramStart"/>
      <w:r w:rsidRPr="0073236C">
        <w:rPr>
          <w:rFonts w:ascii="Garamond" w:hAnsi="Garamond"/>
          <w:sz w:val="24"/>
          <w:szCs w:val="24"/>
        </w:rPr>
        <w:t>wo</w:t>
      </w:r>
      <w:proofErr w:type="spellEnd"/>
      <w:proofErr w:type="gramEnd"/>
      <w:r w:rsidRPr="0073236C">
        <w:rPr>
          <w:rFonts w:ascii="Garamond" w:hAnsi="Garamond"/>
          <w:sz w:val="24"/>
          <w:szCs w:val="24"/>
        </w:rPr>
        <w:t xml:space="preserve"> challenges are consistently in the news at this time: ensuring cyber security and managing massive data sets.  This paper a</w:t>
      </w:r>
      <w:r w:rsidRPr="0073236C">
        <w:rPr>
          <w:rFonts w:ascii="Garamond" w:hAnsi="Garamond"/>
          <w:sz w:val="24"/>
          <w:szCs w:val="24"/>
        </w:rPr>
        <w:t>d</w:t>
      </w:r>
      <w:r w:rsidRPr="0073236C">
        <w:rPr>
          <w:rFonts w:ascii="Garamond" w:hAnsi="Garamond"/>
          <w:sz w:val="24"/>
          <w:szCs w:val="24"/>
        </w:rPr>
        <w:t>dresses the authors’ approach to responding to the confluence of these two problem areas. Both challenges have been extensively doc</w:t>
      </w:r>
      <w:r w:rsidRPr="0073236C">
        <w:rPr>
          <w:rFonts w:ascii="Garamond" w:hAnsi="Garamond"/>
          <w:sz w:val="24"/>
          <w:szCs w:val="24"/>
        </w:rPr>
        <w:t>u</w:t>
      </w:r>
      <w:r w:rsidRPr="0073236C">
        <w:rPr>
          <w:rFonts w:ascii="Garamond" w:hAnsi="Garamond"/>
          <w:sz w:val="24"/>
          <w:szCs w:val="24"/>
        </w:rPr>
        <w:t>mented and effectively articulated. Both have attracted significant interest and research f</w:t>
      </w:r>
      <w:r w:rsidRPr="0073236C">
        <w:rPr>
          <w:rFonts w:ascii="Garamond" w:hAnsi="Garamond"/>
          <w:sz w:val="24"/>
          <w:szCs w:val="24"/>
        </w:rPr>
        <w:t>o</w:t>
      </w:r>
      <w:r w:rsidRPr="0073236C">
        <w:rPr>
          <w:rFonts w:ascii="Garamond" w:hAnsi="Garamond"/>
          <w:sz w:val="24"/>
          <w:szCs w:val="24"/>
        </w:rPr>
        <w:t>cus from the defense establishment, society at large and academia.  The rapid explosion of information technology is capable of genera</w:t>
      </w:r>
      <w:r w:rsidRPr="0073236C">
        <w:rPr>
          <w:rFonts w:ascii="Garamond" w:hAnsi="Garamond"/>
          <w:sz w:val="24"/>
          <w:szCs w:val="24"/>
        </w:rPr>
        <w:t>t</w:t>
      </w:r>
      <w:r w:rsidRPr="0073236C">
        <w:rPr>
          <w:rFonts w:ascii="Garamond" w:hAnsi="Garamond"/>
          <w:sz w:val="24"/>
          <w:szCs w:val="24"/>
        </w:rPr>
        <w:t>ing virtually inconceivable torrents of info</w:t>
      </w:r>
      <w:r w:rsidRPr="0073236C">
        <w:rPr>
          <w:rFonts w:ascii="Garamond" w:hAnsi="Garamond"/>
          <w:sz w:val="24"/>
          <w:szCs w:val="24"/>
        </w:rPr>
        <w:t>r</w:t>
      </w:r>
      <w:r w:rsidRPr="0073236C">
        <w:rPr>
          <w:rFonts w:ascii="Garamond" w:hAnsi="Garamond"/>
          <w:sz w:val="24"/>
          <w:szCs w:val="24"/>
        </w:rPr>
        <w:t>mation, making it difficult for users to reco</w:t>
      </w:r>
      <w:r w:rsidRPr="0073236C">
        <w:rPr>
          <w:rFonts w:ascii="Garamond" w:hAnsi="Garamond"/>
          <w:sz w:val="24"/>
          <w:szCs w:val="24"/>
        </w:rPr>
        <w:t>g</w:t>
      </w:r>
      <w:r w:rsidRPr="0073236C">
        <w:rPr>
          <w:rFonts w:ascii="Garamond" w:hAnsi="Garamond"/>
          <w:sz w:val="24"/>
          <w:szCs w:val="24"/>
        </w:rPr>
        <w:t>nize, understand and incorporate available responses to problems, both those that are extant and those that are emerging. This paper presents a set of technologies, skills and i</w:t>
      </w:r>
      <w:r w:rsidRPr="0073236C">
        <w:rPr>
          <w:rFonts w:ascii="Garamond" w:hAnsi="Garamond"/>
          <w:sz w:val="24"/>
          <w:szCs w:val="24"/>
        </w:rPr>
        <w:t>n</w:t>
      </w:r>
      <w:r w:rsidRPr="0073236C">
        <w:rPr>
          <w:rFonts w:ascii="Garamond" w:hAnsi="Garamond"/>
          <w:sz w:val="24"/>
          <w:szCs w:val="24"/>
        </w:rPr>
        <w:t>sights garnered from the operation of very large and continentally dispersed simulation networks involving hundreds of participants and thousands of CPU’s.  The lessons learned from these efforts have been effectively i</w:t>
      </w:r>
      <w:r w:rsidRPr="0073236C">
        <w:rPr>
          <w:rFonts w:ascii="Garamond" w:hAnsi="Garamond"/>
          <w:sz w:val="24"/>
          <w:szCs w:val="24"/>
        </w:rPr>
        <w:t>n</w:t>
      </w:r>
      <w:r w:rsidRPr="0073236C">
        <w:rPr>
          <w:rFonts w:ascii="Garamond" w:hAnsi="Garamond"/>
          <w:sz w:val="24"/>
          <w:szCs w:val="24"/>
        </w:rPr>
        <w:t xml:space="preserve">stantiated in a recent effort standing up a </w:t>
      </w:r>
      <w:r w:rsidRPr="0073236C">
        <w:rPr>
          <w:rFonts w:ascii="Garamond" w:hAnsi="Garamond"/>
          <w:sz w:val="24"/>
          <w:szCs w:val="24"/>
        </w:rPr>
        <w:lastRenderedPageBreak/>
        <w:t>cyber security exercise.  That exercise was d</w:t>
      </w:r>
      <w:r w:rsidRPr="0073236C">
        <w:rPr>
          <w:rFonts w:ascii="Garamond" w:hAnsi="Garamond"/>
          <w:sz w:val="24"/>
          <w:szCs w:val="24"/>
        </w:rPr>
        <w:t>e</w:t>
      </w:r>
      <w:r w:rsidRPr="0073236C">
        <w:rPr>
          <w:rFonts w:ascii="Garamond" w:hAnsi="Garamond"/>
          <w:sz w:val="24"/>
          <w:szCs w:val="24"/>
        </w:rPr>
        <w:t>signed to be scalable from a single participant to a globally-connected event involving tho</w:t>
      </w:r>
      <w:r w:rsidRPr="0073236C">
        <w:rPr>
          <w:rFonts w:ascii="Garamond" w:hAnsi="Garamond"/>
          <w:sz w:val="24"/>
          <w:szCs w:val="24"/>
        </w:rPr>
        <w:t>u</w:t>
      </w:r>
      <w:r w:rsidRPr="0073236C">
        <w:rPr>
          <w:rFonts w:ascii="Garamond" w:hAnsi="Garamond"/>
          <w:sz w:val="24"/>
          <w:szCs w:val="24"/>
        </w:rPr>
        <w:t>sands.  The initial raison d’être and focus was providing an easily configured cyber security exercise program for use by small active duty and reserve units, which are typically made up of from ten to thirty personnel.  They would be supported by scalable computing enabling them by operating over the range of a few local personal computers up to tens of tho</w:t>
      </w:r>
      <w:r w:rsidRPr="0073236C">
        <w:rPr>
          <w:rFonts w:ascii="Garamond" w:hAnsi="Garamond"/>
          <w:sz w:val="24"/>
          <w:szCs w:val="24"/>
        </w:rPr>
        <w:t>u</w:t>
      </w:r>
      <w:r w:rsidRPr="0073236C">
        <w:rPr>
          <w:rFonts w:ascii="Garamond" w:hAnsi="Garamond"/>
          <w:sz w:val="24"/>
          <w:szCs w:val="24"/>
        </w:rPr>
        <w:t>sands of nodes on major high performance Linux clusters operated by the High Perfo</w:t>
      </w:r>
      <w:r w:rsidRPr="0073236C">
        <w:rPr>
          <w:rFonts w:ascii="Garamond" w:hAnsi="Garamond"/>
          <w:sz w:val="24"/>
          <w:szCs w:val="24"/>
        </w:rPr>
        <w:t>r</w:t>
      </w:r>
      <w:r w:rsidRPr="0073236C">
        <w:rPr>
          <w:rFonts w:ascii="Garamond" w:hAnsi="Garamond"/>
          <w:sz w:val="24"/>
          <w:szCs w:val="24"/>
        </w:rPr>
        <w:t>mance Computing Modernization Program. Even the small unit exercises will generate vast amounts of data and it is the team’s o</w:t>
      </w:r>
      <w:r w:rsidRPr="0073236C">
        <w:rPr>
          <w:rFonts w:ascii="Garamond" w:hAnsi="Garamond"/>
          <w:sz w:val="24"/>
          <w:szCs w:val="24"/>
        </w:rPr>
        <w:t>b</w:t>
      </w:r>
      <w:r w:rsidRPr="0073236C">
        <w:rPr>
          <w:rFonts w:ascii="Garamond" w:hAnsi="Garamond"/>
          <w:sz w:val="24"/>
          <w:szCs w:val="24"/>
        </w:rPr>
        <w:t>servation that global exercises have in the past generated, and are anticipated to in the future to generate, astronomical volumes of data.  Meeting that challenge has required the inn</w:t>
      </w:r>
      <w:r w:rsidRPr="0073236C">
        <w:rPr>
          <w:rFonts w:ascii="Garamond" w:hAnsi="Garamond"/>
          <w:sz w:val="24"/>
          <w:szCs w:val="24"/>
        </w:rPr>
        <w:t>o</w:t>
      </w:r>
      <w:r w:rsidRPr="0073236C">
        <w:rPr>
          <w:rFonts w:ascii="Garamond" w:hAnsi="Garamond"/>
          <w:sz w:val="24"/>
          <w:szCs w:val="24"/>
        </w:rPr>
        <w:t>vative use of superior techniques and tec</w:t>
      </w:r>
      <w:r w:rsidRPr="0073236C">
        <w:rPr>
          <w:rFonts w:ascii="Garamond" w:hAnsi="Garamond"/>
          <w:sz w:val="24"/>
          <w:szCs w:val="24"/>
        </w:rPr>
        <w:t>h</w:t>
      </w:r>
      <w:r w:rsidRPr="0073236C">
        <w:rPr>
          <w:rFonts w:ascii="Garamond" w:hAnsi="Garamond"/>
          <w:sz w:val="24"/>
          <w:szCs w:val="24"/>
        </w:rPr>
        <w:t>nologies.</w:t>
      </w:r>
    </w:p>
    <w:p w:rsidR="00D819C1" w:rsidRPr="0073236C" w:rsidRDefault="00D819C1" w:rsidP="00C4017A">
      <w:pPr>
        <w:rPr>
          <w:sz w:val="24"/>
          <w:szCs w:val="24"/>
        </w:rPr>
      </w:pPr>
    </w:p>
    <w:p w:rsidR="00D819C1" w:rsidRPr="0073236C" w:rsidRDefault="00D819C1" w:rsidP="00C4017A">
      <w:pPr>
        <w:pStyle w:val="BodyText2"/>
        <w:rPr>
          <w:rFonts w:ascii="Garamond" w:hAnsi="Garamond"/>
          <w:sz w:val="24"/>
          <w:szCs w:val="24"/>
        </w:rPr>
      </w:pPr>
      <w:r w:rsidRPr="0073236C">
        <w:rPr>
          <w:rFonts w:ascii="Garamond" w:hAnsi="Garamond"/>
          <w:sz w:val="24"/>
          <w:szCs w:val="24"/>
        </w:rPr>
        <w:lastRenderedPageBreak/>
        <w:t>The hopes spawned by the availability of new technologies are often dashed by one of two results: 1) the technologies fail to live up to their performance promises and are eclipsed by improvements in existing technologies or 2) implementation of the technologies is so cumbersome and the maintenance of the new code is so onerous as to render the modest improvement meaningless. This raises the m</w:t>
      </w:r>
      <w:r w:rsidRPr="0073236C">
        <w:rPr>
          <w:rFonts w:ascii="Garamond" w:hAnsi="Garamond"/>
          <w:sz w:val="24"/>
          <w:szCs w:val="24"/>
        </w:rPr>
        <w:t>e</w:t>
      </w:r>
      <w:r w:rsidRPr="0073236C">
        <w:rPr>
          <w:rFonts w:ascii="Garamond" w:hAnsi="Garamond"/>
          <w:sz w:val="24"/>
          <w:szCs w:val="24"/>
        </w:rPr>
        <w:t>ta-issue of how to assess new technologies and how to implement them efficaciously. Again the authors offer their insights into an approach grounded in a comprehensive u</w:t>
      </w:r>
      <w:r w:rsidRPr="0073236C">
        <w:rPr>
          <w:rFonts w:ascii="Garamond" w:hAnsi="Garamond"/>
          <w:sz w:val="24"/>
          <w:szCs w:val="24"/>
        </w:rPr>
        <w:t>n</w:t>
      </w:r>
      <w:r w:rsidRPr="0073236C">
        <w:rPr>
          <w:rFonts w:ascii="Garamond" w:hAnsi="Garamond"/>
          <w:sz w:val="24"/>
          <w:szCs w:val="24"/>
        </w:rPr>
        <w:t>derstanding of the needs and procedures of the intended users to define the parameters and quantify the requirements of the analytic and data management systems.  They will di</w:t>
      </w:r>
      <w:r w:rsidRPr="0073236C">
        <w:rPr>
          <w:rFonts w:ascii="Garamond" w:hAnsi="Garamond"/>
          <w:sz w:val="24"/>
          <w:szCs w:val="24"/>
        </w:rPr>
        <w:t>s</w:t>
      </w:r>
      <w:r w:rsidRPr="0073236C">
        <w:rPr>
          <w:rFonts w:ascii="Garamond" w:hAnsi="Garamond"/>
          <w:sz w:val="24"/>
          <w:szCs w:val="24"/>
        </w:rPr>
        <w:t>cuss how this was accomplished in the design and coding of the system for the small unit cyber exercises: Cyber Quick-Reaction Trai</w:t>
      </w:r>
      <w:r w:rsidRPr="0073236C">
        <w:rPr>
          <w:rFonts w:ascii="Garamond" w:hAnsi="Garamond"/>
          <w:sz w:val="24"/>
          <w:szCs w:val="24"/>
        </w:rPr>
        <w:t>n</w:t>
      </w:r>
      <w:r w:rsidRPr="0073236C">
        <w:rPr>
          <w:rFonts w:ascii="Garamond" w:hAnsi="Garamond"/>
          <w:sz w:val="24"/>
          <w:szCs w:val="24"/>
        </w:rPr>
        <w:t>ing Environment (CQRTE – pronounced “</w:t>
      </w:r>
      <w:proofErr w:type="spellStart"/>
      <w:r w:rsidRPr="0073236C">
        <w:rPr>
          <w:rFonts w:ascii="Garamond" w:hAnsi="Garamond"/>
          <w:sz w:val="24"/>
          <w:szCs w:val="24"/>
        </w:rPr>
        <w:t>kwerty</w:t>
      </w:r>
      <w:proofErr w:type="spellEnd"/>
      <w:r w:rsidRPr="0073236C">
        <w:rPr>
          <w:rFonts w:ascii="Garamond" w:hAnsi="Garamond"/>
          <w:sz w:val="24"/>
          <w:szCs w:val="24"/>
        </w:rPr>
        <w:t xml:space="preserve">,” like the keyboard). In doing so, they were able to avoid both of the disappointing results alluded to above.  </w:t>
      </w:r>
    </w:p>
    <w:p w:rsidR="00D819C1" w:rsidRPr="0073236C" w:rsidRDefault="00D819C1" w:rsidP="00C4017A">
      <w:pPr>
        <w:rPr>
          <w:sz w:val="24"/>
          <w:szCs w:val="24"/>
        </w:rPr>
      </w:pPr>
      <w:bookmarkStart w:id="0" w:name="OLE_LINK1"/>
    </w:p>
    <w:p w:rsidR="00D819C1" w:rsidRPr="0073236C" w:rsidRDefault="00D819C1" w:rsidP="00C4017A">
      <w:pPr>
        <w:rPr>
          <w:sz w:val="24"/>
          <w:szCs w:val="24"/>
        </w:rPr>
      </w:pPr>
      <w:r w:rsidRPr="0073236C">
        <w:rPr>
          <w:sz w:val="24"/>
          <w:szCs w:val="24"/>
        </w:rPr>
        <w:t>The paper will close with a discussion of the utility of this approach, a primer on its i</w:t>
      </w:r>
      <w:r w:rsidRPr="0073236C">
        <w:rPr>
          <w:sz w:val="24"/>
          <w:szCs w:val="24"/>
        </w:rPr>
        <w:t>m</w:t>
      </w:r>
      <w:r w:rsidRPr="0073236C">
        <w:rPr>
          <w:sz w:val="24"/>
          <w:szCs w:val="24"/>
        </w:rPr>
        <w:t>plementation, and some speculation as to its extensibility for other uses and for other pu</w:t>
      </w:r>
      <w:r w:rsidRPr="0073236C">
        <w:rPr>
          <w:sz w:val="24"/>
          <w:szCs w:val="24"/>
        </w:rPr>
        <w:t>r</w:t>
      </w:r>
      <w:r w:rsidRPr="0073236C">
        <w:rPr>
          <w:sz w:val="24"/>
          <w:szCs w:val="24"/>
        </w:rPr>
        <w:t>poses.</w:t>
      </w:r>
    </w:p>
    <w:p w:rsidR="00D819C1" w:rsidRPr="0073236C" w:rsidRDefault="00D819C1" w:rsidP="0073236C">
      <w:pPr>
        <w:pStyle w:val="Heading2"/>
      </w:pPr>
      <w:r w:rsidRPr="0073236C">
        <w:t xml:space="preserve">Prior Art Developed on Earlier Projects </w:t>
      </w:r>
    </w:p>
    <w:p w:rsidR="00D819C1" w:rsidRDefault="00D819C1" w:rsidP="00C4017A"/>
    <w:p w:rsidR="00D819C1" w:rsidRPr="0073236C" w:rsidRDefault="00D819C1" w:rsidP="00C4017A">
      <w:pPr>
        <w:rPr>
          <w:sz w:val="24"/>
        </w:rPr>
      </w:pPr>
      <w:r w:rsidRPr="0073236C">
        <w:rPr>
          <w:sz w:val="24"/>
        </w:rPr>
        <w:t>High Performance Computing has shown the ability to enable large-scale battlefield simul</w:t>
      </w:r>
      <w:r w:rsidRPr="0073236C">
        <w:rPr>
          <w:sz w:val="24"/>
        </w:rPr>
        <w:t>a</w:t>
      </w:r>
      <w:r w:rsidRPr="0073236C">
        <w:rPr>
          <w:sz w:val="24"/>
        </w:rPr>
        <w:t>tions to scale up the ten million semi-automated forces entities</w:t>
      </w:r>
      <w:r w:rsidR="00624870">
        <w:rPr>
          <w:rStyle w:val="EndnoteReference"/>
          <w:sz w:val="24"/>
        </w:rPr>
        <w:endnoteReference w:id="1"/>
      </w:r>
      <w:r w:rsidRPr="0073236C">
        <w:rPr>
          <w:sz w:val="24"/>
        </w:rPr>
        <w:t xml:space="preserve">. Using HPC instead of tens of thousands of live participants has a number of benefits ranging from cost savings all the way to the ease of automated logging of entity activities, location, and status. </w:t>
      </w:r>
    </w:p>
    <w:p w:rsidR="00D819C1" w:rsidRPr="0073236C" w:rsidRDefault="00D819C1" w:rsidP="00C4017A">
      <w:pPr>
        <w:rPr>
          <w:sz w:val="24"/>
        </w:rPr>
      </w:pPr>
    </w:p>
    <w:p w:rsidR="00D819C1" w:rsidRPr="0073236C" w:rsidRDefault="00D819C1" w:rsidP="00C4017A">
      <w:pPr>
        <w:rPr>
          <w:sz w:val="24"/>
        </w:rPr>
      </w:pPr>
      <w:r w:rsidRPr="0073236C">
        <w:rPr>
          <w:sz w:val="24"/>
        </w:rPr>
        <w:t>Many of the designers of the CQRTE system and some of the authors on this paper deve</w:t>
      </w:r>
      <w:r w:rsidRPr="0073236C">
        <w:rPr>
          <w:sz w:val="24"/>
        </w:rPr>
        <w:t>l</w:t>
      </w:r>
      <w:r w:rsidRPr="0073236C">
        <w:rPr>
          <w:sz w:val="24"/>
        </w:rPr>
        <w:t xml:space="preserve">oped their approaches to data management </w:t>
      </w:r>
      <w:r w:rsidRPr="0073236C">
        <w:rPr>
          <w:sz w:val="24"/>
        </w:rPr>
        <w:lastRenderedPageBreak/>
        <w:t>and distributed computing in the Joint Expe</w:t>
      </w:r>
      <w:r w:rsidRPr="0073236C">
        <w:rPr>
          <w:sz w:val="24"/>
        </w:rPr>
        <w:t>r</w:t>
      </w:r>
      <w:r w:rsidRPr="0073236C">
        <w:rPr>
          <w:sz w:val="24"/>
        </w:rPr>
        <w:t>imentation on Scalable Parallel Processors project</w:t>
      </w:r>
      <w:r w:rsidR="00624870">
        <w:rPr>
          <w:rStyle w:val="EndnoteReference"/>
          <w:sz w:val="24"/>
        </w:rPr>
        <w:endnoteReference w:id="2"/>
      </w:r>
      <w:r w:rsidRPr="0073236C">
        <w:rPr>
          <w:sz w:val="24"/>
        </w:rPr>
        <w:t>.  That was a trans-continentally di</w:t>
      </w:r>
      <w:r w:rsidRPr="0073236C">
        <w:rPr>
          <w:sz w:val="24"/>
        </w:rPr>
        <w:t>s</w:t>
      </w:r>
      <w:r w:rsidRPr="0073236C">
        <w:rPr>
          <w:sz w:val="24"/>
        </w:rPr>
        <w:t>tributed battlespace simulation that required a scalable logging capability.  This work was enabled by using thousands of nodes of a high-performance Linux cluster to produce large amounts of data recording the actions of millions of independent agent entities repr</w:t>
      </w:r>
      <w:r w:rsidRPr="0073236C">
        <w:rPr>
          <w:sz w:val="24"/>
        </w:rPr>
        <w:t>e</w:t>
      </w:r>
      <w:r w:rsidRPr="0073236C">
        <w:rPr>
          <w:sz w:val="24"/>
        </w:rPr>
        <w:t>senting forces, vehicles, terrain and civilian populations.  Managing that torrent of data became very problematic</w:t>
      </w:r>
      <w:r w:rsidR="00624870">
        <w:rPr>
          <w:rStyle w:val="EndnoteReference"/>
          <w:sz w:val="24"/>
        </w:rPr>
        <w:endnoteReference w:id="3"/>
      </w:r>
      <w:r w:rsidRPr="0073236C">
        <w:rPr>
          <w:sz w:val="24"/>
        </w:rPr>
        <w:t>.</w:t>
      </w:r>
    </w:p>
    <w:p w:rsidR="00D819C1" w:rsidRPr="0073236C" w:rsidRDefault="00D819C1" w:rsidP="00C4017A">
      <w:pPr>
        <w:rPr>
          <w:sz w:val="24"/>
        </w:rPr>
      </w:pPr>
    </w:p>
    <w:p w:rsidR="00D819C1" w:rsidRPr="0073236C" w:rsidRDefault="00D819C1" w:rsidP="00C4017A">
      <w:pPr>
        <w:rPr>
          <w:sz w:val="24"/>
        </w:rPr>
      </w:pPr>
      <w:r w:rsidRPr="0073236C">
        <w:rPr>
          <w:sz w:val="24"/>
        </w:rPr>
        <w:t>The JESPP system and the distribution of the computers and the human-in-the-loop parti</w:t>
      </w:r>
      <w:r w:rsidRPr="0073236C">
        <w:rPr>
          <w:sz w:val="24"/>
        </w:rPr>
        <w:t>c</w:t>
      </w:r>
      <w:r w:rsidRPr="0073236C">
        <w:rPr>
          <w:sz w:val="24"/>
        </w:rPr>
        <w:t>ipants are shown in Figure 1, below.</w:t>
      </w:r>
    </w:p>
    <w:p w:rsidR="00D819C1" w:rsidRDefault="00D819C1" w:rsidP="008B5005">
      <w:pPr>
        <w:pStyle w:val="NormalIndent"/>
        <w:ind w:left="-180" w:firstLine="0"/>
        <w:rPr>
          <w:sz w:val="28"/>
        </w:rPr>
      </w:pPr>
      <w:r w:rsidRPr="0073236C">
        <w:rPr>
          <w:noProof/>
          <w:snapToGrid/>
          <w:sz w:val="28"/>
        </w:rPr>
        <w:drawing>
          <wp:inline distT="0" distB="0" distL="0" distR="0">
            <wp:extent cx="2811615" cy="1463040"/>
            <wp:effectExtent l="19050" t="0" r="7785" b="0"/>
            <wp:docPr id="7"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1" cstate="print"/>
                    <a:srcRect/>
                    <a:stretch>
                      <a:fillRect/>
                    </a:stretch>
                  </pic:blipFill>
                  <pic:spPr bwMode="auto">
                    <a:xfrm>
                      <a:off x="0" y="0"/>
                      <a:ext cx="2810595" cy="1462509"/>
                    </a:xfrm>
                    <a:prstGeom prst="rect">
                      <a:avLst/>
                    </a:prstGeom>
                    <a:noFill/>
                    <a:ln w="9525">
                      <a:noFill/>
                      <a:miter lim="800000"/>
                      <a:headEnd/>
                      <a:tailEnd/>
                    </a:ln>
                  </pic:spPr>
                </pic:pic>
              </a:graphicData>
            </a:graphic>
          </wp:inline>
        </w:drawing>
      </w:r>
    </w:p>
    <w:p w:rsidR="008B5005" w:rsidRPr="008B5005" w:rsidRDefault="008B5005" w:rsidP="008B5005">
      <w:pPr>
        <w:pStyle w:val="NormalIndent"/>
        <w:ind w:left="-180" w:firstLine="0"/>
        <w:rPr>
          <w:sz w:val="20"/>
        </w:rPr>
      </w:pPr>
    </w:p>
    <w:p w:rsidR="00D819C1" w:rsidRPr="008B5005" w:rsidRDefault="00D819C1" w:rsidP="0073236C">
      <w:pPr>
        <w:ind w:left="-90" w:right="-180"/>
        <w:jc w:val="center"/>
        <w:rPr>
          <w:b/>
        </w:rPr>
      </w:pPr>
      <w:proofErr w:type="gramStart"/>
      <w:r w:rsidRPr="008B5005">
        <w:rPr>
          <w:b/>
        </w:rPr>
        <w:t xml:space="preserve">Figure </w:t>
      </w:r>
      <w:r w:rsidR="00BB3152" w:rsidRPr="008B5005">
        <w:rPr>
          <w:b/>
        </w:rPr>
        <w:fldChar w:fldCharType="begin"/>
      </w:r>
      <w:r w:rsidRPr="008B5005">
        <w:rPr>
          <w:b/>
        </w:rPr>
        <w:instrText xml:space="preserve"> SEQ Figure \* ARABIC </w:instrText>
      </w:r>
      <w:r w:rsidR="00BB3152" w:rsidRPr="008B5005">
        <w:rPr>
          <w:b/>
        </w:rPr>
        <w:fldChar w:fldCharType="separate"/>
      </w:r>
      <w:r w:rsidR="00587012">
        <w:rPr>
          <w:b/>
          <w:noProof/>
        </w:rPr>
        <w:t>1</w:t>
      </w:r>
      <w:r w:rsidR="00BB3152" w:rsidRPr="008B5005">
        <w:rPr>
          <w:b/>
        </w:rPr>
        <w:fldChar w:fldCharType="end"/>
      </w:r>
      <w:r w:rsidRPr="008B5005">
        <w:rPr>
          <w:b/>
        </w:rPr>
        <w:t>.</w:t>
      </w:r>
      <w:proofErr w:type="gramEnd"/>
      <w:r w:rsidRPr="008B5005">
        <w:rPr>
          <w:b/>
        </w:rPr>
        <w:t xml:space="preserve"> JFCOM Experimentation System</w:t>
      </w:r>
    </w:p>
    <w:p w:rsidR="00D819C1" w:rsidRPr="0073236C" w:rsidRDefault="00D819C1" w:rsidP="0073236C">
      <w:pPr>
        <w:pStyle w:val="Caption"/>
        <w:spacing w:after="120"/>
        <w:rPr>
          <w:sz w:val="22"/>
        </w:rPr>
      </w:pPr>
    </w:p>
    <w:p w:rsidR="00D819C1" w:rsidRPr="0073236C" w:rsidRDefault="00D819C1" w:rsidP="00C4017A">
      <w:pPr>
        <w:rPr>
          <w:sz w:val="24"/>
        </w:rPr>
      </w:pPr>
      <w:r w:rsidRPr="0073236C">
        <w:rPr>
          <w:sz w:val="24"/>
        </w:rPr>
        <w:t xml:space="preserve">For most of the JESPP project, interest-limited message exchange was done using ISI’s </w:t>
      </w:r>
      <w:proofErr w:type="spellStart"/>
      <w:r w:rsidRPr="0073236C">
        <w:rPr>
          <w:sz w:val="24"/>
        </w:rPr>
        <w:t>MeshRouter</w:t>
      </w:r>
      <w:proofErr w:type="spellEnd"/>
      <w:r w:rsidRPr="0073236C">
        <w:rPr>
          <w:sz w:val="24"/>
        </w:rPr>
        <w:t xml:space="preserve"> design, as its scalability was far better than other designs. </w:t>
      </w:r>
    </w:p>
    <w:p w:rsidR="00D819C1" w:rsidRDefault="00D819C1" w:rsidP="005A45B8">
      <w:pPr>
        <w:pStyle w:val="Heading2"/>
      </w:pPr>
      <w:r>
        <w:t xml:space="preserve">Data Management Design for JESPP Project </w:t>
      </w:r>
    </w:p>
    <w:p w:rsidR="00D819C1" w:rsidRPr="003111EC" w:rsidRDefault="00D819C1" w:rsidP="005A45B8">
      <w:pPr>
        <w:keepNext/>
        <w:keepLines/>
      </w:pPr>
    </w:p>
    <w:p w:rsidR="00D819C1" w:rsidRPr="0073236C" w:rsidRDefault="00D819C1" w:rsidP="005A45B8">
      <w:pPr>
        <w:rPr>
          <w:sz w:val="22"/>
        </w:rPr>
      </w:pPr>
      <w:r w:rsidRPr="0073236C">
        <w:rPr>
          <w:sz w:val="24"/>
        </w:rPr>
        <w:t>The analysts in the JESPP project were inte</w:t>
      </w:r>
      <w:r w:rsidRPr="0073236C">
        <w:rPr>
          <w:sz w:val="24"/>
        </w:rPr>
        <w:t>r</w:t>
      </w:r>
      <w:r w:rsidRPr="0073236C">
        <w:rPr>
          <w:sz w:val="24"/>
        </w:rPr>
        <w:t>ested in how well higher level mission tasks and objects were satisfied. A Measure of E</w:t>
      </w:r>
      <w:r w:rsidRPr="0073236C">
        <w:rPr>
          <w:sz w:val="24"/>
        </w:rPr>
        <w:t>f</w:t>
      </w:r>
      <w:r w:rsidRPr="0073236C">
        <w:rPr>
          <w:sz w:val="24"/>
        </w:rPr>
        <w:t>fectiveness (MOE) is a question or measure, designed to show how well particular tasks were satisfied with respect to a system</w:t>
      </w:r>
      <w:r w:rsidR="00624870">
        <w:rPr>
          <w:rStyle w:val="EndnoteReference"/>
          <w:sz w:val="24"/>
        </w:rPr>
        <w:endnoteReference w:id="4"/>
      </w:r>
      <w:r w:rsidRPr="0073236C">
        <w:rPr>
          <w:sz w:val="24"/>
        </w:rPr>
        <w:t>. A Measure of Performance (MOP) is typically quantitative measure of a system characteristic used to support a MOE</w:t>
      </w:r>
      <w:r w:rsidR="005A45B8">
        <w:rPr>
          <w:sz w:val="24"/>
        </w:rPr>
        <w:t xml:space="preserve">, </w:t>
      </w:r>
      <w:fldSimple w:instr=" REF  _Ref428895234 \h  \* MERGEFORMAT ">
        <w:r w:rsidR="00587012" w:rsidRPr="00587012">
          <w:rPr>
            <w:sz w:val="24"/>
            <w:szCs w:val="24"/>
          </w:rPr>
          <w:t xml:space="preserve">Figure </w:t>
        </w:r>
        <w:r w:rsidR="00587012" w:rsidRPr="00587012">
          <w:rPr>
            <w:noProof/>
            <w:sz w:val="24"/>
            <w:szCs w:val="24"/>
          </w:rPr>
          <w:t>2</w:t>
        </w:r>
        <w:r w:rsidR="00587012" w:rsidRPr="00587012">
          <w:rPr>
            <w:sz w:val="24"/>
            <w:szCs w:val="24"/>
          </w:rPr>
          <w:t>: Dime</w:t>
        </w:r>
        <w:r w:rsidR="00587012" w:rsidRPr="00587012">
          <w:rPr>
            <w:sz w:val="24"/>
            <w:szCs w:val="24"/>
          </w:rPr>
          <w:t>n</w:t>
        </w:r>
        <w:r w:rsidR="00587012" w:rsidRPr="00587012">
          <w:rPr>
            <w:sz w:val="24"/>
            <w:szCs w:val="24"/>
          </w:rPr>
          <w:t>sions of Interest and Measures of Perfo</w:t>
        </w:r>
        <w:r w:rsidR="00587012" w:rsidRPr="00587012">
          <w:rPr>
            <w:sz w:val="24"/>
            <w:szCs w:val="24"/>
          </w:rPr>
          <w:t>r</w:t>
        </w:r>
        <w:r w:rsidR="00587012" w:rsidRPr="00587012">
          <w:rPr>
            <w:sz w:val="24"/>
            <w:szCs w:val="24"/>
          </w:rPr>
          <w:t>mance</w:t>
        </w:r>
      </w:fldSimple>
      <w:r w:rsidRPr="0073236C">
        <w:rPr>
          <w:sz w:val="24"/>
        </w:rPr>
        <w:t xml:space="preserve">. For example, sample MOE questions </w:t>
      </w:r>
      <w:r w:rsidRPr="0073236C">
        <w:rPr>
          <w:sz w:val="24"/>
        </w:rPr>
        <w:lastRenderedPageBreak/>
        <w:t>were “Could the red forces be pinned?”, or “Could the sensors detect red force mov</w:t>
      </w:r>
      <w:r w:rsidRPr="0073236C">
        <w:rPr>
          <w:sz w:val="24"/>
        </w:rPr>
        <w:t>e</w:t>
      </w:r>
      <w:r w:rsidRPr="0073236C">
        <w:rPr>
          <w:sz w:val="24"/>
        </w:rPr>
        <w:t>ment within urban environment?</w:t>
      </w:r>
      <w:proofErr w:type="gramStart"/>
      <w:r w:rsidRPr="0073236C">
        <w:rPr>
          <w:sz w:val="24"/>
        </w:rPr>
        <w:t>”.</w:t>
      </w:r>
      <w:proofErr w:type="gramEnd"/>
      <w:r w:rsidRPr="0073236C">
        <w:rPr>
          <w:sz w:val="24"/>
        </w:rPr>
        <w:t xml:space="preserve"> MOPs supporting these MOEs typically included parameters like: percentage of red </w:t>
      </w:r>
      <w:r w:rsidRPr="0073236C">
        <w:rPr>
          <w:sz w:val="24"/>
          <w:szCs w:val="24"/>
        </w:rPr>
        <w:t>forces killed/damaged, percentage of blue forces kill/damaged, time take to cross terrain, pe</w:t>
      </w:r>
      <w:r w:rsidRPr="0073236C">
        <w:rPr>
          <w:sz w:val="24"/>
          <w:szCs w:val="24"/>
        </w:rPr>
        <w:t>r</w:t>
      </w:r>
      <w:r w:rsidRPr="0073236C">
        <w:rPr>
          <w:sz w:val="24"/>
          <w:szCs w:val="24"/>
        </w:rPr>
        <w:t>centage of forces detected within sensor foot-print, percent of forces detected total, and percentage of detection by sensor type by te</w:t>
      </w:r>
      <w:r w:rsidRPr="0073236C">
        <w:rPr>
          <w:sz w:val="24"/>
          <w:szCs w:val="24"/>
        </w:rPr>
        <w:t>r</w:t>
      </w:r>
      <w:r w:rsidRPr="0073236C">
        <w:rPr>
          <w:sz w:val="24"/>
          <w:szCs w:val="24"/>
        </w:rPr>
        <w:t>rain type by time of day.</w:t>
      </w:r>
    </w:p>
    <w:p w:rsidR="00D819C1" w:rsidRDefault="00D819C1" w:rsidP="0073236C">
      <w:pPr>
        <w:pStyle w:val="Heading2"/>
      </w:pPr>
      <w:r>
        <w:t>Analysis Data Model</w:t>
      </w:r>
    </w:p>
    <w:p w:rsidR="00D819C1" w:rsidRPr="003111EC" w:rsidRDefault="00D819C1" w:rsidP="00C4017A"/>
    <w:p w:rsidR="00D819C1" w:rsidRPr="0073236C" w:rsidRDefault="00D819C1" w:rsidP="00C4017A">
      <w:pPr>
        <w:rPr>
          <w:sz w:val="24"/>
          <w:szCs w:val="24"/>
        </w:rPr>
      </w:pPr>
      <w:r w:rsidRPr="0073236C">
        <w:rPr>
          <w:sz w:val="24"/>
          <w:szCs w:val="24"/>
        </w:rPr>
        <w:t>A principle mandate of JESPP was to study the effectiveness of future Intelligence, Su</w:t>
      </w:r>
      <w:r w:rsidRPr="0073236C">
        <w:rPr>
          <w:sz w:val="24"/>
          <w:szCs w:val="24"/>
        </w:rPr>
        <w:t>r</w:t>
      </w:r>
      <w:r w:rsidRPr="0073236C">
        <w:rPr>
          <w:sz w:val="24"/>
          <w:szCs w:val="24"/>
        </w:rPr>
        <w:t>veillance and Reconnaissance (ISR) sensors in helping “Blue Forces” operate in complex urban environments. The Sensor/Target Scoreboard provides a visual way of quickly comparing the relative effectiveness of ind</w:t>
      </w:r>
      <w:r w:rsidRPr="0073236C">
        <w:rPr>
          <w:sz w:val="24"/>
          <w:szCs w:val="24"/>
        </w:rPr>
        <w:t>i</w:t>
      </w:r>
      <w:r w:rsidRPr="0073236C">
        <w:rPr>
          <w:sz w:val="24"/>
          <w:szCs w:val="24"/>
        </w:rPr>
        <w:t>vidual sensor platforms and sensor modes against different types of targets. Se</w:t>
      </w:r>
      <w:r w:rsidRPr="0073236C">
        <w:rPr>
          <w:sz w:val="24"/>
          <w:szCs w:val="24"/>
        </w:rPr>
        <w:t>n</w:t>
      </w:r>
      <w:r w:rsidRPr="0073236C">
        <w:rPr>
          <w:sz w:val="24"/>
          <w:szCs w:val="24"/>
        </w:rPr>
        <w:t>sor/Target Scoreboard is a specific instance of the more general multidimensional anal</w:t>
      </w:r>
      <w:r w:rsidRPr="0073236C">
        <w:rPr>
          <w:sz w:val="24"/>
          <w:szCs w:val="24"/>
        </w:rPr>
        <w:t>y</w:t>
      </w:r>
      <w:r w:rsidRPr="0073236C">
        <w:rPr>
          <w:sz w:val="24"/>
          <w:szCs w:val="24"/>
        </w:rPr>
        <w:t>sis</w:t>
      </w:r>
      <w:r w:rsidR="00624870">
        <w:rPr>
          <w:rStyle w:val="EndnoteReference"/>
          <w:sz w:val="24"/>
          <w:szCs w:val="24"/>
        </w:rPr>
        <w:endnoteReference w:id="5"/>
      </w:r>
      <w:r w:rsidRPr="0073236C">
        <w:rPr>
          <w:sz w:val="24"/>
          <w:szCs w:val="24"/>
        </w:rPr>
        <w:t>). We used the Sensor/Target Scoreboard to motivate the discussion. In a 2005 I/ITSEC paper, the data management and analysis tool Scalable Data Grid, which uses multidimensional analysis, is fully described</w:t>
      </w:r>
      <w:r w:rsidR="00624870">
        <w:rPr>
          <w:rStyle w:val="EndnoteReference"/>
          <w:sz w:val="24"/>
          <w:szCs w:val="24"/>
        </w:rPr>
        <w:endnoteReference w:id="6"/>
      </w:r>
      <w:r w:rsidRPr="0073236C">
        <w:rPr>
          <w:sz w:val="24"/>
          <w:szCs w:val="24"/>
        </w:rPr>
        <w:t xml:space="preserve">. </w:t>
      </w:r>
    </w:p>
    <w:p w:rsidR="00D819C1" w:rsidRPr="0073236C" w:rsidRDefault="00BB3152" w:rsidP="00C4017A">
      <w:pPr>
        <w:rPr>
          <w:sz w:val="24"/>
          <w:szCs w:val="24"/>
        </w:rPr>
      </w:pPr>
      <w:r w:rsidRPr="00BB3152">
        <w:rPr>
          <w:noProof/>
        </w:rPr>
        <w:pict>
          <v:shape id="_x0000_s1030" type="#_x0000_t202" style="position:absolute;left:0;text-align:left;margin-left:9.4pt;margin-top:-405.7pt;width:192.85pt;height:177.85pt;z-index:-251660800" wrapcoords="-96 -160 -96 21440 21696 21440 21696 -160 -96 -160" strokecolor="white [3212]">
            <v:textbox style="mso-next-textbox:#_x0000_s1030" inset="0,0,0,0">
              <w:txbxContent>
                <w:p w:rsidR="00587012" w:rsidRDefault="00587012" w:rsidP="00C4017A">
                  <w:pPr>
                    <w:pStyle w:val="NormalIndent"/>
                  </w:pPr>
                  <w:r>
                    <w:rPr>
                      <w:noProof/>
                      <w:snapToGrid/>
                    </w:rPr>
                    <w:drawing>
                      <wp:inline distT="0" distB="0" distL="0" distR="0">
                        <wp:extent cx="1846248" cy="1719618"/>
                        <wp:effectExtent l="19050" t="0" r="1602" b="0"/>
                        <wp:docPr id="10" name="Picture 4" descr="Dimensions-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ensions-measures"/>
                                <pic:cNvPicPr>
                                  <a:picLocks noChangeAspect="1" noChangeArrowheads="1"/>
                                </pic:cNvPicPr>
                              </pic:nvPicPr>
                              <pic:blipFill>
                                <a:blip r:embed="rId12"/>
                                <a:srcRect/>
                                <a:stretch>
                                  <a:fillRect/>
                                </a:stretch>
                              </pic:blipFill>
                              <pic:spPr bwMode="auto">
                                <a:xfrm>
                                  <a:off x="0" y="0"/>
                                  <a:ext cx="1846275" cy="1719643"/>
                                </a:xfrm>
                                <a:prstGeom prst="rect">
                                  <a:avLst/>
                                </a:prstGeom>
                                <a:noFill/>
                                <a:ln w="9525">
                                  <a:noFill/>
                                  <a:miter lim="800000"/>
                                  <a:headEnd/>
                                  <a:tailEnd/>
                                </a:ln>
                              </pic:spPr>
                            </pic:pic>
                          </a:graphicData>
                        </a:graphic>
                      </wp:inline>
                    </w:drawing>
                  </w:r>
                  <w:r w:rsidRPr="001C4E1E">
                    <w:t xml:space="preserve"> </w:t>
                  </w:r>
                </w:p>
                <w:p w:rsidR="00587012" w:rsidRPr="008B5005" w:rsidRDefault="00587012" w:rsidP="00526941">
                  <w:pPr>
                    <w:pStyle w:val="Caption"/>
                    <w:jc w:val="center"/>
                    <w:rPr>
                      <w:rFonts w:ascii="Garamond" w:hAnsi="Garamond"/>
                      <w:color w:val="auto"/>
                      <w:sz w:val="20"/>
                    </w:rPr>
                  </w:pPr>
                  <w:bookmarkStart w:id="1" w:name="_Ref428895234"/>
                  <w:r w:rsidRPr="008B5005">
                    <w:rPr>
                      <w:rFonts w:ascii="Garamond" w:hAnsi="Garamond"/>
                      <w:color w:val="auto"/>
                      <w:sz w:val="20"/>
                    </w:rPr>
                    <w:t xml:space="preserve">Figure </w:t>
                  </w:r>
                  <w:r w:rsidR="00BB3152" w:rsidRPr="008B5005">
                    <w:rPr>
                      <w:rFonts w:ascii="Garamond" w:hAnsi="Garamond"/>
                      <w:color w:val="auto"/>
                      <w:sz w:val="20"/>
                    </w:rPr>
                    <w:fldChar w:fldCharType="begin"/>
                  </w:r>
                  <w:r w:rsidRPr="008B5005">
                    <w:rPr>
                      <w:rFonts w:ascii="Garamond" w:hAnsi="Garamond"/>
                      <w:color w:val="auto"/>
                      <w:sz w:val="20"/>
                    </w:rPr>
                    <w:instrText xml:space="preserve"> SEQ Figure \* ARABIC </w:instrText>
                  </w:r>
                  <w:r w:rsidR="00BB3152" w:rsidRPr="008B5005">
                    <w:rPr>
                      <w:rFonts w:ascii="Garamond" w:hAnsi="Garamond"/>
                      <w:color w:val="auto"/>
                      <w:sz w:val="20"/>
                    </w:rPr>
                    <w:fldChar w:fldCharType="separate"/>
                  </w:r>
                  <w:r>
                    <w:rPr>
                      <w:rFonts w:ascii="Garamond" w:hAnsi="Garamond"/>
                      <w:noProof/>
                      <w:color w:val="auto"/>
                      <w:sz w:val="20"/>
                    </w:rPr>
                    <w:t>2</w:t>
                  </w:r>
                  <w:r w:rsidR="00BB3152" w:rsidRPr="008B5005">
                    <w:rPr>
                      <w:rFonts w:ascii="Garamond" w:hAnsi="Garamond"/>
                      <w:color w:val="auto"/>
                      <w:sz w:val="20"/>
                    </w:rPr>
                    <w:fldChar w:fldCharType="end"/>
                  </w:r>
                  <w:r w:rsidRPr="008B5005">
                    <w:rPr>
                      <w:rFonts w:ascii="Garamond" w:hAnsi="Garamond"/>
                      <w:color w:val="auto"/>
                      <w:sz w:val="20"/>
                    </w:rPr>
                    <w:t>: Dimensions of Interest and Measures of Performance</w:t>
                  </w:r>
                  <w:bookmarkEnd w:id="1"/>
                </w:p>
              </w:txbxContent>
            </v:textbox>
            <w10:wrap type="tight"/>
          </v:shape>
        </w:pict>
      </w:r>
    </w:p>
    <w:p w:rsidR="00D819C1" w:rsidRPr="0073236C" w:rsidRDefault="00D819C1" w:rsidP="00C4017A">
      <w:pPr>
        <w:rPr>
          <w:sz w:val="24"/>
          <w:szCs w:val="24"/>
        </w:rPr>
      </w:pPr>
      <w:r w:rsidRPr="0073236C">
        <w:rPr>
          <w:sz w:val="24"/>
          <w:szCs w:val="24"/>
        </w:rPr>
        <w:t>The Analysis Data Model (</w:t>
      </w:r>
      <w:smartTag w:uri="urn:schemas-microsoft-com:office:smarttags" w:element="stockticker">
        <w:r w:rsidRPr="0073236C">
          <w:rPr>
            <w:sz w:val="24"/>
            <w:szCs w:val="24"/>
          </w:rPr>
          <w:t>ADM</w:t>
        </w:r>
      </w:smartTag>
      <w:r w:rsidRPr="0073236C">
        <w:rPr>
          <w:sz w:val="24"/>
          <w:szCs w:val="24"/>
        </w:rPr>
        <w:t xml:space="preserve">) is defined in terms of multidimensional analysis. Two key </w:t>
      </w:r>
      <w:r w:rsidRPr="0073236C">
        <w:rPr>
          <w:sz w:val="24"/>
          <w:szCs w:val="24"/>
        </w:rPr>
        <w:lastRenderedPageBreak/>
        <w:t xml:space="preserve">concepts in the </w:t>
      </w:r>
      <w:smartTag w:uri="urn:schemas-microsoft-com:office:smarttags" w:element="stockticker">
        <w:r w:rsidRPr="0073236C">
          <w:rPr>
            <w:sz w:val="24"/>
            <w:szCs w:val="24"/>
          </w:rPr>
          <w:t>ADM</w:t>
        </w:r>
      </w:smartTag>
      <w:r w:rsidRPr="0073236C">
        <w:rPr>
          <w:sz w:val="24"/>
          <w:szCs w:val="24"/>
        </w:rPr>
        <w:t xml:space="preserve"> are dimensions of i</w:t>
      </w:r>
      <w:r w:rsidRPr="0073236C">
        <w:rPr>
          <w:sz w:val="24"/>
          <w:szCs w:val="24"/>
        </w:rPr>
        <w:t>n</w:t>
      </w:r>
      <w:r w:rsidRPr="0073236C">
        <w:rPr>
          <w:sz w:val="24"/>
          <w:szCs w:val="24"/>
        </w:rPr>
        <w:t>terest and Measures of Performance (Figure 2). For large simulations, the magnitude of data collected ranged in the terabytes. Dime</w:t>
      </w:r>
      <w:r w:rsidRPr="0073236C">
        <w:rPr>
          <w:sz w:val="24"/>
          <w:szCs w:val="24"/>
        </w:rPr>
        <w:t>n</w:t>
      </w:r>
      <w:r w:rsidRPr="0073236C">
        <w:rPr>
          <w:sz w:val="24"/>
          <w:szCs w:val="24"/>
        </w:rPr>
        <w:t>sions categorize and partition the data along lines of interest to the analysts. Defining mu</w:t>
      </w:r>
      <w:r w:rsidRPr="0073236C">
        <w:rPr>
          <w:sz w:val="24"/>
          <w:szCs w:val="24"/>
        </w:rPr>
        <w:t>l</w:t>
      </w:r>
      <w:r w:rsidRPr="0073236C">
        <w:rPr>
          <w:sz w:val="24"/>
          <w:szCs w:val="24"/>
        </w:rPr>
        <w:t>tiple crosscutting dimensions aided in brea</w:t>
      </w:r>
      <w:r w:rsidRPr="0073236C">
        <w:rPr>
          <w:sz w:val="24"/>
          <w:szCs w:val="24"/>
        </w:rPr>
        <w:t>k</w:t>
      </w:r>
      <w:r w:rsidRPr="0073236C">
        <w:rPr>
          <w:sz w:val="24"/>
          <w:szCs w:val="24"/>
        </w:rPr>
        <w:t>ing the data into smaller orthogonal subsets associated measurement units. Choosing the granularity of these units aided in determining the size of the subsets. The targets were often grouped together, for example, by transport</w:t>
      </w:r>
      <w:r w:rsidRPr="0073236C">
        <w:rPr>
          <w:sz w:val="24"/>
          <w:szCs w:val="24"/>
        </w:rPr>
        <w:t>a</w:t>
      </w:r>
      <w:r w:rsidRPr="0073236C">
        <w:rPr>
          <w:sz w:val="24"/>
          <w:szCs w:val="24"/>
        </w:rPr>
        <w:t>tion mode: air, ground and sea.</w:t>
      </w:r>
    </w:p>
    <w:p w:rsidR="00D819C1" w:rsidRPr="0073236C" w:rsidRDefault="00D819C1" w:rsidP="00C4017A">
      <w:pPr>
        <w:rPr>
          <w:sz w:val="24"/>
          <w:szCs w:val="24"/>
        </w:rPr>
      </w:pPr>
    </w:p>
    <w:p w:rsidR="00D819C1" w:rsidRPr="0073236C" w:rsidRDefault="00D819C1" w:rsidP="00C4017A">
      <w:pPr>
        <w:rPr>
          <w:sz w:val="24"/>
          <w:szCs w:val="24"/>
        </w:rPr>
      </w:pPr>
      <w:r w:rsidRPr="0073236C">
        <w:rPr>
          <w:sz w:val="24"/>
          <w:szCs w:val="24"/>
        </w:rPr>
        <w:t>Hierarchical dimensional units were also po</w:t>
      </w:r>
      <w:r w:rsidRPr="0073236C">
        <w:rPr>
          <w:sz w:val="24"/>
          <w:szCs w:val="24"/>
        </w:rPr>
        <w:t>s</w:t>
      </w:r>
      <w:r w:rsidRPr="0073236C">
        <w:rPr>
          <w:sz w:val="24"/>
          <w:szCs w:val="24"/>
        </w:rPr>
        <w:t>sible. For example, the analysts may have wanted to subdivide the sensor platform cat</w:t>
      </w:r>
      <w:r w:rsidRPr="0073236C">
        <w:rPr>
          <w:sz w:val="24"/>
          <w:szCs w:val="24"/>
        </w:rPr>
        <w:t>e</w:t>
      </w:r>
      <w:r w:rsidRPr="0073236C">
        <w:rPr>
          <w:sz w:val="24"/>
          <w:szCs w:val="24"/>
        </w:rPr>
        <w:t xml:space="preserve">gory into the sensor modes: </w:t>
      </w:r>
      <w:smartTag w:uri="urn:schemas-microsoft-com:office:smarttags" w:element="stockticker">
        <w:r w:rsidRPr="0073236C">
          <w:rPr>
            <w:sz w:val="24"/>
            <w:szCs w:val="24"/>
          </w:rPr>
          <w:t>MTI</w:t>
        </w:r>
      </w:smartTag>
      <w:r w:rsidRPr="0073236C">
        <w:rPr>
          <w:sz w:val="24"/>
          <w:szCs w:val="24"/>
        </w:rPr>
        <w:t xml:space="preserve"> (moving target indicators), SAR (synthetic aperture r</w:t>
      </w:r>
      <w:r w:rsidRPr="0073236C">
        <w:rPr>
          <w:sz w:val="24"/>
          <w:szCs w:val="24"/>
        </w:rPr>
        <w:t>a</w:t>
      </w:r>
      <w:r w:rsidRPr="0073236C">
        <w:rPr>
          <w:sz w:val="24"/>
          <w:szCs w:val="24"/>
        </w:rPr>
        <w:t xml:space="preserve">dar), images, video, and acoustic. Multiple unit decompositions of the same dimension are allowed. </w:t>
      </w:r>
    </w:p>
    <w:p w:rsidR="00D819C1" w:rsidRPr="0073236C" w:rsidRDefault="00D819C1" w:rsidP="00C4017A">
      <w:pPr>
        <w:rPr>
          <w:sz w:val="24"/>
          <w:szCs w:val="24"/>
        </w:rPr>
      </w:pPr>
    </w:p>
    <w:p w:rsidR="00D819C1" w:rsidRPr="0073236C" w:rsidRDefault="00D819C1" w:rsidP="00C4017A">
      <w:pPr>
        <w:rPr>
          <w:sz w:val="24"/>
          <w:szCs w:val="24"/>
        </w:rPr>
      </w:pPr>
      <w:r w:rsidRPr="0073236C">
        <w:rPr>
          <w:sz w:val="24"/>
          <w:szCs w:val="24"/>
        </w:rPr>
        <w:t>In the case of the sensor/target scoreboard, the MOP was an integer count of the number of times a sensor has detected a target. The aggregation operator is the addition operator. Sometimes mean and variance performance measures were of interest to analysts. For e</w:t>
      </w:r>
      <w:r w:rsidRPr="0073236C">
        <w:rPr>
          <w:sz w:val="24"/>
          <w:szCs w:val="24"/>
        </w:rPr>
        <w:t>x</w:t>
      </w:r>
      <w:r w:rsidRPr="0073236C">
        <w:rPr>
          <w:sz w:val="24"/>
          <w:szCs w:val="24"/>
        </w:rPr>
        <w:t>ample, instead of integer detection counts, the sensor/target could have been extended to maintain a floating point number indicating degree of uncertainty. Then, in that case it made sense to measure the mean and the var</w:t>
      </w:r>
      <w:r w:rsidRPr="0073236C">
        <w:rPr>
          <w:sz w:val="24"/>
          <w:szCs w:val="24"/>
        </w:rPr>
        <w:t>i</w:t>
      </w:r>
      <w:r w:rsidRPr="0073236C">
        <w:rPr>
          <w:sz w:val="24"/>
          <w:szCs w:val="24"/>
        </w:rPr>
        <w:t>ance of uncertainty. Mean and variance oper</w:t>
      </w:r>
      <w:r w:rsidRPr="0073236C">
        <w:rPr>
          <w:sz w:val="24"/>
          <w:szCs w:val="24"/>
        </w:rPr>
        <w:t>a</w:t>
      </w:r>
      <w:r w:rsidRPr="0073236C">
        <w:rPr>
          <w:sz w:val="24"/>
          <w:szCs w:val="24"/>
        </w:rPr>
        <w:t>tors satisfied the associative property. These measures were directly computable from a</w:t>
      </w:r>
      <w:r w:rsidRPr="0073236C">
        <w:rPr>
          <w:sz w:val="24"/>
          <w:szCs w:val="24"/>
        </w:rPr>
        <w:t>s</w:t>
      </w:r>
      <w:r w:rsidRPr="0073236C">
        <w:rPr>
          <w:sz w:val="24"/>
          <w:szCs w:val="24"/>
        </w:rPr>
        <w:t>sociative measure. Mean was computable from two associative measures: the count of number of detections (or uncertainty), and the sum of uncertainty. Variance required an add</w:t>
      </w:r>
      <w:r w:rsidRPr="0073236C">
        <w:rPr>
          <w:sz w:val="24"/>
          <w:szCs w:val="24"/>
        </w:rPr>
        <w:t>i</w:t>
      </w:r>
      <w:r w:rsidRPr="0073236C">
        <w:rPr>
          <w:sz w:val="24"/>
          <w:szCs w:val="24"/>
        </w:rPr>
        <w:t xml:space="preserve">tional sum of squares of uncertainty. Let X </w:t>
      </w:r>
      <w:proofErr w:type="gramStart"/>
      <w:r w:rsidRPr="0073236C">
        <w:rPr>
          <w:sz w:val="24"/>
          <w:szCs w:val="24"/>
        </w:rPr>
        <w:t>be</w:t>
      </w:r>
      <w:proofErr w:type="gramEnd"/>
      <w:r w:rsidRPr="0073236C">
        <w:rPr>
          <w:sz w:val="24"/>
          <w:szCs w:val="24"/>
        </w:rPr>
        <w:t xml:space="preserve"> the uncertainty, and n be the count of number of detections:</w:t>
      </w:r>
    </w:p>
    <w:p w:rsidR="00D819C1" w:rsidRPr="0073236C" w:rsidRDefault="00D819C1" w:rsidP="009D3A6D">
      <w:pPr>
        <w:pStyle w:val="NormalIndent"/>
        <w:ind w:firstLine="0"/>
        <w:rPr>
          <w:rFonts w:ascii="Garamond" w:hAnsi="Garamond"/>
          <w:sz w:val="24"/>
          <w:szCs w:val="24"/>
        </w:rPr>
      </w:pPr>
      <w:r w:rsidRPr="0073236C">
        <w:rPr>
          <w:rFonts w:ascii="Garamond" w:hAnsi="Garamond"/>
          <w:sz w:val="24"/>
          <w:szCs w:val="24"/>
        </w:rPr>
        <w:object w:dxaOrig="40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15pt;height:40.05pt" o:ole="">
            <v:imagedata r:id="rId13" o:title=""/>
          </v:shape>
          <o:OLEObject Type="Embed" ProgID="Equation.3" ShapeID="_x0000_i1025" DrawAspect="Content" ObjectID="_1502690771" r:id="rId14"/>
        </w:object>
      </w:r>
    </w:p>
    <w:p w:rsidR="00D819C1" w:rsidRDefault="00D819C1" w:rsidP="00C4017A">
      <w:pPr>
        <w:rPr>
          <w:sz w:val="24"/>
          <w:szCs w:val="24"/>
        </w:rPr>
      </w:pPr>
      <w:r w:rsidRPr="0073236C">
        <w:rPr>
          <w:sz w:val="24"/>
          <w:szCs w:val="24"/>
        </w:rPr>
        <w:t>Typically MOE decomposed into multiple performance measures. If it was possible to decompose these measures along the same dimensions, or as they are sometimes called, conforming dimensions, then it was possible to compare these measures. The type of que</w:t>
      </w:r>
      <w:r w:rsidRPr="0073236C">
        <w:rPr>
          <w:sz w:val="24"/>
          <w:szCs w:val="24"/>
        </w:rPr>
        <w:t>s</w:t>
      </w:r>
      <w:r w:rsidRPr="0073236C">
        <w:rPr>
          <w:sz w:val="24"/>
          <w:szCs w:val="24"/>
        </w:rPr>
        <w:t>tion analysts might have asked was “How more likely are damages to enemy target ent</w:t>
      </w:r>
      <w:r w:rsidRPr="0073236C">
        <w:rPr>
          <w:sz w:val="24"/>
          <w:szCs w:val="24"/>
        </w:rPr>
        <w:t>i</w:t>
      </w:r>
      <w:r w:rsidRPr="0073236C">
        <w:rPr>
          <w:sz w:val="24"/>
          <w:szCs w:val="24"/>
        </w:rPr>
        <w:t>ties if they have been detected by sensors?</w:t>
      </w:r>
      <w:proofErr w:type="gramStart"/>
      <w:r w:rsidRPr="0073236C">
        <w:rPr>
          <w:sz w:val="24"/>
          <w:szCs w:val="24"/>
        </w:rPr>
        <w:t>”.</w:t>
      </w:r>
      <w:proofErr w:type="gramEnd"/>
      <w:r w:rsidRPr="0073236C">
        <w:rPr>
          <w:sz w:val="24"/>
          <w:szCs w:val="24"/>
        </w:rPr>
        <w:t xml:space="preserve"> Let X </w:t>
      </w:r>
      <w:proofErr w:type="gramStart"/>
      <w:r w:rsidRPr="0073236C">
        <w:rPr>
          <w:sz w:val="24"/>
          <w:szCs w:val="24"/>
        </w:rPr>
        <w:t>be</w:t>
      </w:r>
      <w:proofErr w:type="gramEnd"/>
      <w:r w:rsidRPr="0073236C">
        <w:rPr>
          <w:sz w:val="24"/>
          <w:szCs w:val="24"/>
        </w:rPr>
        <w:t xml:space="preserve"> sensor effectiveness and Y be da</w:t>
      </w:r>
      <w:r w:rsidRPr="0073236C">
        <w:rPr>
          <w:sz w:val="24"/>
          <w:szCs w:val="24"/>
        </w:rPr>
        <w:t>m</w:t>
      </w:r>
      <w:r w:rsidRPr="0073236C">
        <w:rPr>
          <w:sz w:val="24"/>
          <w:szCs w:val="24"/>
        </w:rPr>
        <w:t>age assessment.  If an additional measure was defined that was the sum of X times Y, then we could determine covariance between da</w:t>
      </w:r>
      <w:r w:rsidRPr="0073236C">
        <w:rPr>
          <w:sz w:val="24"/>
          <w:szCs w:val="24"/>
        </w:rPr>
        <w:t>m</w:t>
      </w:r>
      <w:r w:rsidRPr="0073236C">
        <w:rPr>
          <w:sz w:val="24"/>
          <w:szCs w:val="24"/>
        </w:rPr>
        <w:t>age and detection by using the</w:t>
      </w:r>
      <w:r w:rsidR="00526941">
        <w:rPr>
          <w:sz w:val="24"/>
          <w:szCs w:val="24"/>
        </w:rPr>
        <w:t xml:space="preserve"> well-known</w:t>
      </w:r>
      <w:r w:rsidRPr="0073236C">
        <w:rPr>
          <w:sz w:val="24"/>
          <w:szCs w:val="24"/>
        </w:rPr>
        <w:t xml:space="preserve"> “mean” operator:</w:t>
      </w:r>
    </w:p>
    <w:p w:rsidR="00526941" w:rsidRPr="0073236C" w:rsidRDefault="00526941" w:rsidP="00C4017A">
      <w:pPr>
        <w:rPr>
          <w:sz w:val="24"/>
          <w:szCs w:val="24"/>
        </w:rPr>
      </w:pPr>
    </w:p>
    <w:p w:rsidR="00D819C1" w:rsidRPr="0073236C" w:rsidRDefault="009D3A6D" w:rsidP="008B5005">
      <w:pPr>
        <w:pStyle w:val="NormalIndent"/>
        <w:ind w:left="-90" w:firstLine="0"/>
        <w:rPr>
          <w:rFonts w:ascii="Garamond" w:hAnsi="Garamond"/>
          <w:sz w:val="24"/>
          <w:szCs w:val="24"/>
        </w:rPr>
      </w:pPr>
      <w:r w:rsidRPr="009D3A6D">
        <w:rPr>
          <w:rFonts w:ascii="Garamond" w:hAnsi="Garamond"/>
          <w:sz w:val="32"/>
          <w:szCs w:val="24"/>
        </w:rPr>
        <w:object w:dxaOrig="4380" w:dyaOrig="320">
          <v:shape id="_x0000_i1026" type="#_x0000_t75" style="width:236.05pt;height:17.55pt" o:ole="">
            <v:imagedata r:id="rId15" o:title=""/>
          </v:shape>
          <o:OLEObject Type="Embed" ProgID="Equation.3" ShapeID="_x0000_i1026" DrawAspect="Content" ObjectID="_1502690772" r:id="rId16"/>
        </w:object>
      </w:r>
    </w:p>
    <w:p w:rsidR="00D819C1" w:rsidRPr="00526941" w:rsidRDefault="00D819C1" w:rsidP="00526941">
      <w:pPr>
        <w:pStyle w:val="Heading2"/>
      </w:pPr>
      <w:r w:rsidRPr="00526941">
        <w:t>Logging Data Model</w:t>
      </w:r>
    </w:p>
    <w:p w:rsidR="00D819C1" w:rsidRPr="0073236C" w:rsidRDefault="00D819C1" w:rsidP="00C4017A">
      <w:pPr>
        <w:rPr>
          <w:sz w:val="24"/>
          <w:szCs w:val="24"/>
        </w:rPr>
      </w:pPr>
    </w:p>
    <w:p w:rsidR="00D819C1" w:rsidRPr="0073236C" w:rsidRDefault="00D819C1" w:rsidP="00C4017A">
      <w:pPr>
        <w:rPr>
          <w:sz w:val="24"/>
          <w:szCs w:val="24"/>
        </w:rPr>
      </w:pPr>
      <w:r w:rsidRPr="0073236C">
        <w:rPr>
          <w:sz w:val="24"/>
          <w:szCs w:val="24"/>
        </w:rPr>
        <w:t>The Logging Data Model (LDM) described the content and format of data being logged. The system used relational databases to store the logged data. The ISI LDM was automat</w:t>
      </w:r>
      <w:r w:rsidRPr="0073236C">
        <w:rPr>
          <w:sz w:val="24"/>
          <w:szCs w:val="24"/>
        </w:rPr>
        <w:t>i</w:t>
      </w:r>
      <w:r w:rsidRPr="0073236C">
        <w:rPr>
          <w:sz w:val="24"/>
          <w:szCs w:val="24"/>
        </w:rPr>
        <w:t>cally generated from the simulation descri</w:t>
      </w:r>
      <w:r w:rsidRPr="0073236C">
        <w:rPr>
          <w:sz w:val="24"/>
          <w:szCs w:val="24"/>
        </w:rPr>
        <w:t>p</w:t>
      </w:r>
      <w:r w:rsidRPr="0073236C">
        <w:rPr>
          <w:sz w:val="24"/>
          <w:szCs w:val="24"/>
        </w:rPr>
        <w:t>tion document that described classes and i</w:t>
      </w:r>
      <w:r w:rsidRPr="0073236C">
        <w:rPr>
          <w:sz w:val="24"/>
          <w:szCs w:val="24"/>
        </w:rPr>
        <w:t>n</w:t>
      </w:r>
      <w:r w:rsidRPr="0073236C">
        <w:rPr>
          <w:sz w:val="24"/>
          <w:szCs w:val="24"/>
        </w:rPr>
        <w:t>teractions</w:t>
      </w:r>
      <w:proofErr w:type="gramStart"/>
      <w:r w:rsidRPr="0073236C">
        <w:rPr>
          <w:sz w:val="24"/>
          <w:szCs w:val="24"/>
        </w:rPr>
        <w:t>,  having</w:t>
      </w:r>
      <w:proofErr w:type="gramEnd"/>
      <w:r w:rsidRPr="0073236C">
        <w:rPr>
          <w:sz w:val="24"/>
          <w:szCs w:val="24"/>
        </w:rPr>
        <w:t xml:space="preserve"> attributes and parameters respectively. Attributes are mapped to mult</w:t>
      </w:r>
      <w:r w:rsidRPr="0073236C">
        <w:rPr>
          <w:sz w:val="24"/>
          <w:szCs w:val="24"/>
        </w:rPr>
        <w:t>i</w:t>
      </w:r>
      <w:r w:rsidRPr="0073236C">
        <w:rPr>
          <w:sz w:val="24"/>
          <w:szCs w:val="24"/>
        </w:rPr>
        <w:t>ple columns, to rows in a sub-table or to mu</w:t>
      </w:r>
      <w:r w:rsidRPr="0073236C">
        <w:rPr>
          <w:sz w:val="24"/>
          <w:szCs w:val="24"/>
        </w:rPr>
        <w:t>l</w:t>
      </w:r>
      <w:r w:rsidRPr="0073236C">
        <w:rPr>
          <w:sz w:val="24"/>
          <w:szCs w:val="24"/>
        </w:rPr>
        <w:t>tiple columns in the top-level table. Complex data types with high or unbounded cardinality, such as arrays, are mapped to sub-tables. The sub-table contains keys referencing the parent table, sequence column indicating the order in the array and data columns representing the actual data. Interactions and their correspon</w:t>
      </w:r>
      <w:r w:rsidRPr="0073236C">
        <w:rPr>
          <w:sz w:val="24"/>
          <w:szCs w:val="24"/>
        </w:rPr>
        <w:t>d</w:t>
      </w:r>
      <w:r w:rsidRPr="0073236C">
        <w:rPr>
          <w:sz w:val="24"/>
          <w:szCs w:val="24"/>
        </w:rPr>
        <w:t>ing parameters are handled similarly to the object classes and their attributes. The pu</w:t>
      </w:r>
      <w:r w:rsidRPr="0073236C">
        <w:rPr>
          <w:sz w:val="24"/>
          <w:szCs w:val="24"/>
        </w:rPr>
        <w:t>r</w:t>
      </w:r>
      <w:r w:rsidRPr="0073236C">
        <w:rPr>
          <w:sz w:val="24"/>
          <w:szCs w:val="24"/>
        </w:rPr>
        <w:t>pose of the relational schema is for the eff</w:t>
      </w:r>
      <w:r w:rsidRPr="0073236C">
        <w:rPr>
          <w:sz w:val="24"/>
          <w:szCs w:val="24"/>
        </w:rPr>
        <w:t>i</w:t>
      </w:r>
      <w:r w:rsidRPr="0073236C">
        <w:rPr>
          <w:sz w:val="24"/>
          <w:szCs w:val="24"/>
        </w:rPr>
        <w:t xml:space="preserve">cient storage of log data intercepted during the federation execution. It has been pointed </w:t>
      </w:r>
      <w:r w:rsidRPr="0073236C">
        <w:rPr>
          <w:sz w:val="24"/>
          <w:szCs w:val="24"/>
        </w:rPr>
        <w:lastRenderedPageBreak/>
        <w:t>out that the primary purpose of relational schema is data integrity.</w:t>
      </w:r>
    </w:p>
    <w:p w:rsidR="00D819C1" w:rsidRDefault="00D819C1" w:rsidP="00C4017A">
      <w:r>
        <w:t xml:space="preserve"> </w:t>
      </w:r>
    </w:p>
    <w:p w:rsidR="00D819C1" w:rsidRDefault="00D819C1" w:rsidP="00526941">
      <w:pPr>
        <w:pStyle w:val="Heading2"/>
      </w:pPr>
      <w:r>
        <w:t>Distributed Implementations and Results</w:t>
      </w:r>
    </w:p>
    <w:p w:rsidR="00526941" w:rsidRDefault="00526941" w:rsidP="00526941">
      <w:pPr>
        <w:keepNext/>
        <w:keepLines/>
        <w:rPr>
          <w:sz w:val="22"/>
        </w:rPr>
      </w:pPr>
    </w:p>
    <w:p w:rsidR="00D819C1" w:rsidRDefault="00D819C1" w:rsidP="00C4017A">
      <w:pPr>
        <w:rPr>
          <w:sz w:val="22"/>
        </w:rPr>
      </w:pPr>
      <w:r w:rsidRPr="00526941">
        <w:rPr>
          <w:sz w:val="22"/>
        </w:rPr>
        <w:t>To work in distributed environments an additional layer was needed to define on top to aggregate multidimensional cubes distributed across diffe</w:t>
      </w:r>
      <w:r w:rsidRPr="00526941">
        <w:rPr>
          <w:sz w:val="22"/>
        </w:rPr>
        <w:t>r</w:t>
      </w:r>
      <w:r w:rsidRPr="00526941">
        <w:rPr>
          <w:sz w:val="22"/>
        </w:rPr>
        <w:t>ent machines. The left-hand side of Figure 3 b</w:t>
      </w:r>
      <w:r w:rsidRPr="00526941">
        <w:rPr>
          <w:sz w:val="22"/>
        </w:rPr>
        <w:t>e</w:t>
      </w:r>
      <w:r w:rsidRPr="00526941">
        <w:rPr>
          <w:sz w:val="22"/>
        </w:rPr>
        <w:t>low depicts a single three-dimensional se</w:t>
      </w:r>
      <w:r w:rsidRPr="00526941">
        <w:rPr>
          <w:sz w:val="22"/>
        </w:rPr>
        <w:t>n</w:t>
      </w:r>
      <w:r w:rsidRPr="00526941">
        <w:rPr>
          <w:sz w:val="22"/>
        </w:rPr>
        <w:t>sor/target/detection status score-cube. It repr</w:t>
      </w:r>
      <w:r w:rsidRPr="00526941">
        <w:rPr>
          <w:sz w:val="22"/>
        </w:rPr>
        <w:t>e</w:t>
      </w:r>
      <w:r w:rsidRPr="00526941">
        <w:rPr>
          <w:sz w:val="22"/>
        </w:rPr>
        <w:t>sents only a partial, incomplete view. To generate a complete view, cubes from other simulation fe</w:t>
      </w:r>
      <w:r w:rsidRPr="00526941">
        <w:rPr>
          <w:sz w:val="22"/>
        </w:rPr>
        <w:t>d</w:t>
      </w:r>
      <w:r w:rsidRPr="00526941">
        <w:rPr>
          <w:sz w:val="22"/>
        </w:rPr>
        <w:t>erates have to be aggregated. The right-hand side of Figure 3 depicts a tree summing together all the distributed cubes. Again, the associative and commutative properties of the aggregation oper</w:t>
      </w:r>
      <w:r w:rsidRPr="00526941">
        <w:rPr>
          <w:sz w:val="22"/>
        </w:rPr>
        <w:t>a</w:t>
      </w:r>
      <w:r w:rsidRPr="00526941">
        <w:rPr>
          <w:sz w:val="22"/>
        </w:rPr>
        <w:t>tor were used, while the raw data was not sent.</w:t>
      </w:r>
    </w:p>
    <w:p w:rsidR="009D3A6D" w:rsidRPr="00526941" w:rsidRDefault="009D3A6D" w:rsidP="00C4017A">
      <w:pPr>
        <w:rPr>
          <w:sz w:val="22"/>
        </w:rPr>
      </w:pPr>
    </w:p>
    <w:p w:rsidR="00D819C1" w:rsidRDefault="00D819C1" w:rsidP="009D3A6D">
      <w:pPr>
        <w:pStyle w:val="NormalIndent"/>
        <w:ind w:firstLine="0"/>
      </w:pPr>
      <w:r>
        <w:rPr>
          <w:noProof/>
          <w:snapToGrid/>
        </w:rPr>
        <w:drawing>
          <wp:inline distT="0" distB="0" distL="0" distR="0">
            <wp:extent cx="2843420" cy="1355867"/>
            <wp:effectExtent l="19050" t="0" r="0" b="0"/>
            <wp:docPr id="8" name="Picture 7" descr="Logger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ger architecture"/>
                    <pic:cNvPicPr>
                      <a:picLocks noChangeAspect="1" noChangeArrowheads="1"/>
                    </pic:cNvPicPr>
                  </pic:nvPicPr>
                  <pic:blipFill>
                    <a:blip r:embed="rId17" cstate="print"/>
                    <a:srcRect/>
                    <a:stretch>
                      <a:fillRect/>
                    </a:stretch>
                  </pic:blipFill>
                  <pic:spPr bwMode="auto">
                    <a:xfrm>
                      <a:off x="0" y="0"/>
                      <a:ext cx="2845886" cy="1357043"/>
                    </a:xfrm>
                    <a:prstGeom prst="rect">
                      <a:avLst/>
                    </a:prstGeom>
                    <a:noFill/>
                    <a:ln w="9525">
                      <a:noFill/>
                      <a:miter lim="800000"/>
                      <a:headEnd/>
                      <a:tailEnd/>
                    </a:ln>
                  </pic:spPr>
                </pic:pic>
              </a:graphicData>
            </a:graphic>
          </wp:inline>
        </w:drawing>
      </w:r>
    </w:p>
    <w:p w:rsidR="008B5005" w:rsidRDefault="008B5005" w:rsidP="009D3A6D">
      <w:pPr>
        <w:pStyle w:val="NormalIndent"/>
        <w:ind w:firstLine="0"/>
      </w:pPr>
    </w:p>
    <w:p w:rsidR="00D819C1" w:rsidRPr="008B5005" w:rsidRDefault="00D819C1" w:rsidP="00526941">
      <w:pPr>
        <w:pStyle w:val="Caption"/>
        <w:jc w:val="center"/>
        <w:rPr>
          <w:rFonts w:ascii="Garamond" w:hAnsi="Garamond"/>
          <w:color w:val="auto"/>
          <w:sz w:val="20"/>
        </w:rPr>
      </w:pPr>
      <w:r w:rsidRPr="008B5005">
        <w:rPr>
          <w:rFonts w:ascii="Garamond" w:hAnsi="Garamond"/>
          <w:color w:val="auto"/>
          <w:sz w:val="20"/>
        </w:rPr>
        <w:t xml:space="preserve">Figure </w:t>
      </w:r>
      <w:r w:rsidR="00BB3152" w:rsidRPr="008B5005">
        <w:rPr>
          <w:rFonts w:ascii="Garamond" w:hAnsi="Garamond"/>
          <w:color w:val="auto"/>
          <w:sz w:val="20"/>
        </w:rPr>
        <w:fldChar w:fldCharType="begin"/>
      </w:r>
      <w:r w:rsidRPr="008B5005">
        <w:rPr>
          <w:rFonts w:ascii="Garamond" w:hAnsi="Garamond"/>
          <w:color w:val="auto"/>
          <w:sz w:val="20"/>
        </w:rPr>
        <w:instrText xml:space="preserve"> SEQ Figure \* ARABIC </w:instrText>
      </w:r>
      <w:r w:rsidR="00BB3152" w:rsidRPr="008B5005">
        <w:rPr>
          <w:rFonts w:ascii="Garamond" w:hAnsi="Garamond"/>
          <w:color w:val="auto"/>
          <w:sz w:val="20"/>
        </w:rPr>
        <w:fldChar w:fldCharType="separate"/>
      </w:r>
      <w:r w:rsidR="00587012">
        <w:rPr>
          <w:rFonts w:ascii="Garamond" w:hAnsi="Garamond"/>
          <w:noProof/>
          <w:color w:val="auto"/>
          <w:sz w:val="20"/>
        </w:rPr>
        <w:t>3</w:t>
      </w:r>
      <w:r w:rsidR="00BB3152" w:rsidRPr="008B5005">
        <w:rPr>
          <w:rFonts w:ascii="Garamond" w:hAnsi="Garamond"/>
          <w:color w:val="auto"/>
          <w:sz w:val="20"/>
        </w:rPr>
        <w:fldChar w:fldCharType="end"/>
      </w:r>
      <w:r w:rsidRPr="008B5005">
        <w:rPr>
          <w:rFonts w:ascii="Garamond" w:hAnsi="Garamond"/>
          <w:color w:val="auto"/>
          <w:sz w:val="20"/>
        </w:rPr>
        <w:t xml:space="preserve"> Distributed Data Analysis</w:t>
      </w:r>
    </w:p>
    <w:p w:rsidR="00526941" w:rsidRDefault="00526941" w:rsidP="00526941">
      <w:pPr>
        <w:pStyle w:val="Heading2"/>
      </w:pPr>
    </w:p>
    <w:p w:rsidR="00D819C1" w:rsidRDefault="00D819C1" w:rsidP="00526941">
      <w:pPr>
        <w:pStyle w:val="Heading2"/>
      </w:pPr>
      <w:r>
        <w:t>Analysis</w:t>
      </w:r>
      <w:r w:rsidRPr="001B0B17">
        <w:t xml:space="preserve"> </w:t>
      </w:r>
      <w:r>
        <w:t>of Data Management</w:t>
      </w:r>
    </w:p>
    <w:p w:rsidR="00D819C1" w:rsidRPr="003111EC" w:rsidRDefault="00D819C1" w:rsidP="00C4017A"/>
    <w:p w:rsidR="00D819C1" w:rsidRPr="00526941" w:rsidRDefault="00D819C1" w:rsidP="00C4017A">
      <w:pPr>
        <w:rPr>
          <w:sz w:val="24"/>
        </w:rPr>
      </w:pPr>
      <w:r w:rsidRPr="00526941">
        <w:rPr>
          <w:sz w:val="24"/>
        </w:rPr>
        <w:t>The ability to capture and log detail message traffic from very large scale simulations e</w:t>
      </w:r>
      <w:r w:rsidRPr="00526941">
        <w:rPr>
          <w:sz w:val="24"/>
        </w:rPr>
        <w:t>x</w:t>
      </w:r>
      <w:r w:rsidRPr="00526941">
        <w:rPr>
          <w:sz w:val="24"/>
        </w:rPr>
        <w:t>ceeded the ability of humans to analyze and comprehend that data. A framework for quickly translating these operational-level log data into analyst-level data was implemented. The frame-work explicitly defined a two-level data model that separated the operational lo</w:t>
      </w:r>
      <w:r w:rsidRPr="00526941">
        <w:rPr>
          <w:sz w:val="24"/>
        </w:rPr>
        <w:t>g</w:t>
      </w:r>
      <w:r w:rsidRPr="00526941">
        <w:rPr>
          <w:sz w:val="24"/>
        </w:rPr>
        <w:t>ging data model from the analysis data model. The agility of the framework resulted from being able to isolate changes to the logging data model as a result of changes to the sim</w:t>
      </w:r>
      <w:r w:rsidRPr="00526941">
        <w:rPr>
          <w:sz w:val="24"/>
        </w:rPr>
        <w:t>u</w:t>
      </w:r>
      <w:r w:rsidRPr="00526941">
        <w:rPr>
          <w:sz w:val="24"/>
        </w:rPr>
        <w:lastRenderedPageBreak/>
        <w:t>lation parameters, and from being able to quickly define analysis data models that matched analysts’ notion of MOEs and MOPs. The secret to a good data manag</w:t>
      </w:r>
      <w:r w:rsidRPr="00526941">
        <w:rPr>
          <w:sz w:val="24"/>
        </w:rPr>
        <w:t>e</w:t>
      </w:r>
      <w:r w:rsidRPr="00526941">
        <w:rPr>
          <w:sz w:val="24"/>
        </w:rPr>
        <w:t>ment system was to sit with the analysts du</w:t>
      </w:r>
      <w:r w:rsidRPr="00526941">
        <w:rPr>
          <w:sz w:val="24"/>
        </w:rPr>
        <w:t>r</w:t>
      </w:r>
      <w:r w:rsidRPr="00526941">
        <w:rPr>
          <w:sz w:val="24"/>
        </w:rPr>
        <w:t>ing a series of simulation to more fully unde</w:t>
      </w:r>
      <w:r w:rsidRPr="00526941">
        <w:rPr>
          <w:sz w:val="24"/>
        </w:rPr>
        <w:t>r</w:t>
      </w:r>
      <w:r w:rsidRPr="00526941">
        <w:rPr>
          <w:sz w:val="24"/>
        </w:rPr>
        <w:t>stand what their needs and their constraints were. Only then was the system designed.</w:t>
      </w:r>
    </w:p>
    <w:p w:rsidR="00D819C1" w:rsidRPr="00526941" w:rsidRDefault="00BB3152" w:rsidP="00C4017A">
      <w:pPr>
        <w:rPr>
          <w:sz w:val="24"/>
        </w:rPr>
      </w:pPr>
      <w:r>
        <w:rPr>
          <w:noProof/>
          <w:sz w:val="24"/>
        </w:rPr>
        <w:pict>
          <v:shape id="_x0000_s1034" type="#_x0000_t202" style="position:absolute;left:0;text-align:left;margin-left:247.55pt;margin-top:-26.75pt;width:230.95pt;height:192.5pt;z-index:251659776" strokecolor="white [3212]">
            <v:textbox style="mso-next-textbox:#_x0000_s1034">
              <w:txbxContent>
                <w:p w:rsidR="00587012" w:rsidRDefault="00587012" w:rsidP="009D3A6D">
                  <w:pPr>
                    <w:pStyle w:val="Caption"/>
                    <w:rPr>
                      <w:color w:val="auto"/>
                    </w:rPr>
                  </w:pPr>
                  <w:r>
                    <w:rPr>
                      <w:noProof/>
                    </w:rPr>
                    <w:drawing>
                      <wp:inline distT="0" distB="0" distL="0" distR="0">
                        <wp:extent cx="2982036" cy="2022752"/>
                        <wp:effectExtent l="19050" t="0" r="8814"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of_USA.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658" cy="2024530"/>
                                </a:xfrm>
                                <a:prstGeom prst="rect">
                                  <a:avLst/>
                                </a:prstGeom>
                              </pic:spPr>
                            </pic:pic>
                          </a:graphicData>
                        </a:graphic>
                      </wp:inline>
                    </w:drawing>
                  </w:r>
                </w:p>
                <w:p w:rsidR="00587012" w:rsidRPr="008B5005" w:rsidRDefault="00587012" w:rsidP="009D3A6D">
                  <w:pPr>
                    <w:pStyle w:val="Caption"/>
                    <w:jc w:val="center"/>
                    <w:rPr>
                      <w:rFonts w:ascii="Garamond" w:hAnsi="Garamond"/>
                      <w:color w:val="auto"/>
                      <w:sz w:val="20"/>
                      <w:szCs w:val="20"/>
                    </w:rPr>
                  </w:pPr>
                  <w:r w:rsidRPr="008B5005">
                    <w:rPr>
                      <w:rFonts w:ascii="Garamond" w:hAnsi="Garamond"/>
                      <w:color w:val="auto"/>
                      <w:sz w:val="20"/>
                      <w:szCs w:val="20"/>
                    </w:rPr>
                    <w:t xml:space="preserve">Figure </w:t>
                  </w:r>
                  <w:r w:rsidR="00BB3152" w:rsidRPr="008B5005">
                    <w:rPr>
                      <w:rFonts w:ascii="Garamond" w:hAnsi="Garamond"/>
                      <w:color w:val="auto"/>
                      <w:sz w:val="20"/>
                      <w:szCs w:val="20"/>
                    </w:rPr>
                    <w:fldChar w:fldCharType="begin"/>
                  </w:r>
                  <w:r w:rsidRPr="008B5005">
                    <w:rPr>
                      <w:rFonts w:ascii="Garamond" w:hAnsi="Garamond"/>
                      <w:color w:val="auto"/>
                      <w:sz w:val="20"/>
                      <w:szCs w:val="20"/>
                    </w:rPr>
                    <w:instrText xml:space="preserve"> SEQ Figure \* ARABIC </w:instrText>
                  </w:r>
                  <w:r w:rsidR="00BB3152" w:rsidRPr="008B5005">
                    <w:rPr>
                      <w:rFonts w:ascii="Garamond" w:hAnsi="Garamond"/>
                      <w:color w:val="auto"/>
                      <w:sz w:val="20"/>
                      <w:szCs w:val="20"/>
                    </w:rPr>
                    <w:fldChar w:fldCharType="separate"/>
                  </w:r>
                  <w:r>
                    <w:rPr>
                      <w:rFonts w:ascii="Garamond" w:hAnsi="Garamond"/>
                      <w:noProof/>
                      <w:color w:val="auto"/>
                      <w:sz w:val="20"/>
                      <w:szCs w:val="20"/>
                    </w:rPr>
                    <w:t>4</w:t>
                  </w:r>
                  <w:r w:rsidR="00BB3152" w:rsidRPr="008B5005">
                    <w:rPr>
                      <w:rFonts w:ascii="Garamond" w:hAnsi="Garamond"/>
                      <w:color w:val="auto"/>
                      <w:sz w:val="20"/>
                      <w:szCs w:val="20"/>
                    </w:rPr>
                    <w:fldChar w:fldCharType="end"/>
                  </w:r>
                  <w:r w:rsidRPr="008B5005">
                    <w:rPr>
                      <w:rFonts w:ascii="Garamond" w:hAnsi="Garamond"/>
                      <w:color w:val="auto"/>
                      <w:sz w:val="20"/>
                      <w:szCs w:val="20"/>
                    </w:rPr>
                    <w:t>: Cyber Exercises</w:t>
                  </w:r>
                </w:p>
                <w:p w:rsidR="00587012" w:rsidRDefault="00587012" w:rsidP="009D3A6D"/>
              </w:txbxContent>
            </v:textbox>
            <w10:wrap type="square"/>
          </v:shape>
        </w:pict>
      </w:r>
    </w:p>
    <w:p w:rsidR="00D819C1" w:rsidRPr="009D3A6D" w:rsidRDefault="00D819C1" w:rsidP="009D3A6D">
      <w:pPr>
        <w:pStyle w:val="Heading1"/>
        <w:ind w:left="-90" w:right="-90"/>
        <w:rPr>
          <w:sz w:val="32"/>
        </w:rPr>
      </w:pPr>
      <w:r w:rsidRPr="009D3A6D">
        <w:rPr>
          <w:sz w:val="32"/>
        </w:rPr>
        <w:t xml:space="preserve">Development of a Small Unit Data Management System </w:t>
      </w:r>
    </w:p>
    <w:p w:rsidR="00D819C1" w:rsidRDefault="00D819C1" w:rsidP="00C4017A"/>
    <w:p w:rsidR="00D819C1" w:rsidRPr="00526941" w:rsidRDefault="00D819C1" w:rsidP="00C4017A">
      <w:pPr>
        <w:rPr>
          <w:sz w:val="24"/>
        </w:rPr>
      </w:pPr>
      <w:r w:rsidRPr="00526941">
        <w:rPr>
          <w:sz w:val="24"/>
        </w:rPr>
        <w:t xml:space="preserve">In this section, the conception, design and implementation of a data management system for a small unit </w:t>
      </w:r>
      <w:proofErr w:type="spellStart"/>
      <w:r w:rsidRPr="00526941">
        <w:rPr>
          <w:sz w:val="24"/>
        </w:rPr>
        <w:t>cyberwarfare</w:t>
      </w:r>
      <w:proofErr w:type="spellEnd"/>
      <w:r w:rsidRPr="00526941">
        <w:rPr>
          <w:sz w:val="24"/>
        </w:rPr>
        <w:t xml:space="preserve"> simulator will be detailed and analyzed. </w:t>
      </w:r>
    </w:p>
    <w:p w:rsidR="00D819C1" w:rsidRPr="00526941" w:rsidRDefault="00D819C1" w:rsidP="00C4017A">
      <w:pPr>
        <w:rPr>
          <w:sz w:val="24"/>
        </w:rPr>
      </w:pPr>
    </w:p>
    <w:bookmarkEnd w:id="0"/>
    <w:p w:rsidR="00D819C1" w:rsidRPr="00D14ECC" w:rsidRDefault="00D819C1" w:rsidP="0073236C">
      <w:pPr>
        <w:pStyle w:val="Heading2"/>
      </w:pPr>
      <w:r>
        <w:t xml:space="preserve">The Cyber Security Threat </w:t>
      </w:r>
    </w:p>
    <w:p w:rsidR="00D819C1" w:rsidRDefault="00D819C1" w:rsidP="00C4017A"/>
    <w:p w:rsidR="00D819C1" w:rsidRPr="00526941" w:rsidRDefault="00D819C1" w:rsidP="00C4017A">
      <w:pPr>
        <w:rPr>
          <w:sz w:val="24"/>
        </w:rPr>
      </w:pPr>
      <w:r w:rsidRPr="00526941">
        <w:rPr>
          <w:sz w:val="24"/>
        </w:rPr>
        <w:t>The President has identified cyber security as one of the most serious economic and natio</w:t>
      </w:r>
      <w:r w:rsidRPr="00526941">
        <w:rPr>
          <w:sz w:val="24"/>
        </w:rPr>
        <w:t>n</w:t>
      </w:r>
      <w:r w:rsidRPr="00526941">
        <w:rPr>
          <w:sz w:val="24"/>
        </w:rPr>
        <w:t>al security challenges we face as a nation</w:t>
      </w:r>
      <w:r w:rsidR="00624870">
        <w:rPr>
          <w:rStyle w:val="EndnoteReference"/>
          <w:sz w:val="24"/>
        </w:rPr>
        <w:endnoteReference w:id="7"/>
      </w:r>
      <w:r w:rsidRPr="00526941">
        <w:rPr>
          <w:sz w:val="24"/>
        </w:rPr>
        <w:t>. The threats come from varying sources, but the most dangerous are the sophisticated methods employed by large intelligence agencies of world-power nation-states.  Admiral Michael Rogers, the Director of the National Security Agency said “I don't think there should be anybody's mind that the cyber-challenges we're talking about are not theoretical. This is something real that is impacting our nation and those of our allies and friends every day. And it is doing it in a meaningful way that is literally costing us hundreds of billions of do</w:t>
      </w:r>
      <w:r w:rsidRPr="00526941">
        <w:rPr>
          <w:sz w:val="24"/>
        </w:rPr>
        <w:t>l</w:t>
      </w:r>
      <w:r w:rsidRPr="00526941">
        <w:rPr>
          <w:sz w:val="24"/>
        </w:rPr>
        <w:t>lars, that is leading to a reduced sense of sec</w:t>
      </w:r>
      <w:r w:rsidRPr="00526941">
        <w:rPr>
          <w:sz w:val="24"/>
        </w:rPr>
        <w:t>u</w:t>
      </w:r>
      <w:r w:rsidRPr="00526941">
        <w:rPr>
          <w:sz w:val="24"/>
        </w:rPr>
        <w:t>rity and that has the potential to lead to truly significant, almost catastrophic failures if we don't take action.”</w:t>
      </w:r>
      <w:r w:rsidR="00624870">
        <w:rPr>
          <w:rStyle w:val="EndnoteReference"/>
          <w:sz w:val="24"/>
        </w:rPr>
        <w:endnoteReference w:id="8"/>
      </w:r>
      <w:r w:rsidRPr="00526941">
        <w:rPr>
          <w:sz w:val="24"/>
        </w:rPr>
        <w:t xml:space="preserve">  This paper addresses the actions we can take, using advanced data management.</w:t>
      </w:r>
    </w:p>
    <w:p w:rsidR="00D819C1" w:rsidRPr="00526941" w:rsidRDefault="00D819C1" w:rsidP="00C4017A">
      <w:pPr>
        <w:rPr>
          <w:sz w:val="24"/>
        </w:rPr>
      </w:pPr>
    </w:p>
    <w:p w:rsidR="00D819C1" w:rsidRPr="00D14ECC" w:rsidRDefault="00D819C1" w:rsidP="008B5005">
      <w:pPr>
        <w:pStyle w:val="Heading2"/>
      </w:pPr>
      <w:r>
        <w:lastRenderedPageBreak/>
        <w:t xml:space="preserve">The Cyber Security Exercise  </w:t>
      </w:r>
    </w:p>
    <w:p w:rsidR="00D819C1" w:rsidRDefault="00D819C1" w:rsidP="008B5005">
      <w:pPr>
        <w:keepNext/>
        <w:keepLines/>
      </w:pPr>
    </w:p>
    <w:p w:rsidR="00D819C1" w:rsidRPr="009D3A6D" w:rsidRDefault="00D819C1" w:rsidP="00C4017A">
      <w:pPr>
        <w:rPr>
          <w:sz w:val="24"/>
        </w:rPr>
      </w:pPr>
      <w:r w:rsidRPr="009D3A6D">
        <w:rPr>
          <w:sz w:val="24"/>
        </w:rPr>
        <w:t>To help meet this threat, the authors and ot</w:t>
      </w:r>
      <w:r w:rsidRPr="009D3A6D">
        <w:rPr>
          <w:sz w:val="24"/>
        </w:rPr>
        <w:t>h</w:t>
      </w:r>
      <w:r w:rsidRPr="009D3A6D">
        <w:rPr>
          <w:sz w:val="24"/>
        </w:rPr>
        <w:t>er conceived, designed and implemented a small unit cyber warfare system simulator.  They did this because of the impediments raised by doing larger exercises. It is well-known that the expenditure required to ru</w:t>
      </w:r>
      <w:r w:rsidRPr="009D3A6D">
        <w:rPr>
          <w:sz w:val="24"/>
        </w:rPr>
        <w:t>n</w:t>
      </w:r>
      <w:r w:rsidRPr="009D3A6D">
        <w:rPr>
          <w:sz w:val="24"/>
        </w:rPr>
        <w:t>ning a full-scale exercises are daunting.  Mi</w:t>
      </w:r>
      <w:r w:rsidRPr="009D3A6D">
        <w:rPr>
          <w:sz w:val="24"/>
        </w:rPr>
        <w:t>l</w:t>
      </w:r>
      <w:r w:rsidRPr="009D3A6D">
        <w:rPr>
          <w:sz w:val="24"/>
        </w:rPr>
        <w:t>lennium Challenge 2002 (MC02) was reported to have cost $250 million dollars</w:t>
      </w:r>
      <w:r w:rsidR="00624870">
        <w:rPr>
          <w:rStyle w:val="EndnoteReference"/>
          <w:sz w:val="24"/>
        </w:rPr>
        <w:endnoteReference w:id="9"/>
      </w:r>
      <w:r w:rsidRPr="009D3A6D">
        <w:rPr>
          <w:sz w:val="24"/>
        </w:rPr>
        <w:t>.  There have been other, smaller exercises: Cyber Flag and Cyber Guard are also reputed to have been very costly.  There is also the problem of very large Internet Connection Sharing (ICS) mo</w:t>
      </w:r>
      <w:r w:rsidRPr="009D3A6D">
        <w:rPr>
          <w:sz w:val="24"/>
        </w:rPr>
        <w:t>d</w:t>
      </w:r>
      <w:r w:rsidRPr="009D3A6D">
        <w:rPr>
          <w:sz w:val="24"/>
        </w:rPr>
        <w:t xml:space="preserve">els, organizational burdens and concomitant schedule disruptions and travel costs. These do not directly lead to enhancing the benefits of the training.  </w:t>
      </w:r>
    </w:p>
    <w:p w:rsidR="00D819C1" w:rsidRPr="009D3A6D" w:rsidRDefault="00D819C1" w:rsidP="00C4017A">
      <w:pPr>
        <w:rPr>
          <w:sz w:val="24"/>
        </w:rPr>
      </w:pPr>
    </w:p>
    <w:p w:rsidR="00D819C1" w:rsidRPr="009D3A6D" w:rsidRDefault="00D819C1" w:rsidP="00C4017A">
      <w:pPr>
        <w:rPr>
          <w:sz w:val="24"/>
        </w:rPr>
      </w:pPr>
      <w:r w:rsidRPr="009D3A6D">
        <w:rPr>
          <w:sz w:val="24"/>
        </w:rPr>
        <w:t>Small unit exercises have proven themselves in the battlespace simulation discipline. “America’s Army” is very pervasive in today’s Army and is commonly employed as a training tool.  It was originally designed to be a first-person-shooter game for the US Army’s R</w:t>
      </w:r>
      <w:r w:rsidRPr="009D3A6D">
        <w:rPr>
          <w:sz w:val="24"/>
        </w:rPr>
        <w:t>e</w:t>
      </w:r>
      <w:r w:rsidRPr="009D3A6D">
        <w:rPr>
          <w:sz w:val="24"/>
        </w:rPr>
        <w:t>cruiting Command.  Fortuitously, it was o</w:t>
      </w:r>
      <w:r w:rsidRPr="009D3A6D">
        <w:rPr>
          <w:sz w:val="24"/>
        </w:rPr>
        <w:t>b</w:t>
      </w:r>
      <w:r w:rsidRPr="009D3A6D">
        <w:rPr>
          <w:sz w:val="24"/>
        </w:rPr>
        <w:t>served that trainees were playing it on-line and that play lead to enhancement of their pe</w:t>
      </w:r>
      <w:r w:rsidRPr="009D3A6D">
        <w:rPr>
          <w:sz w:val="24"/>
        </w:rPr>
        <w:t>r</w:t>
      </w:r>
      <w:r w:rsidRPr="009D3A6D">
        <w:rPr>
          <w:sz w:val="24"/>
        </w:rPr>
        <w:t>formance and skill levels</w:t>
      </w:r>
      <w:r w:rsidR="00624870">
        <w:rPr>
          <w:rStyle w:val="EndnoteReference"/>
          <w:sz w:val="24"/>
        </w:rPr>
        <w:endnoteReference w:id="10"/>
      </w:r>
      <w:r w:rsidRPr="009D3A6D">
        <w:rPr>
          <w:sz w:val="24"/>
        </w:rPr>
        <w:t xml:space="preserve">. </w:t>
      </w:r>
    </w:p>
    <w:p w:rsidR="00D819C1" w:rsidRPr="009D3A6D" w:rsidRDefault="00D819C1" w:rsidP="00C4017A">
      <w:pPr>
        <w:rPr>
          <w:sz w:val="24"/>
        </w:rPr>
      </w:pPr>
    </w:p>
    <w:p w:rsidR="00D819C1" w:rsidRPr="009D3A6D" w:rsidRDefault="00D819C1" w:rsidP="00C4017A">
      <w:pPr>
        <w:rPr>
          <w:sz w:val="24"/>
        </w:rPr>
      </w:pPr>
      <w:r w:rsidRPr="009D3A6D">
        <w:rPr>
          <w:sz w:val="24"/>
        </w:rPr>
        <w:lastRenderedPageBreak/>
        <w:t xml:space="preserve">In cyber warfare training, the authors assert that there is also a need for small unit </w:t>
      </w:r>
      <w:proofErr w:type="gramStart"/>
      <w:r w:rsidRPr="009D3A6D">
        <w:rPr>
          <w:sz w:val="24"/>
        </w:rPr>
        <w:t>an</w:t>
      </w:r>
      <w:proofErr w:type="gramEnd"/>
      <w:r w:rsidRPr="009D3A6D">
        <w:rPr>
          <w:sz w:val="24"/>
        </w:rPr>
        <w:t xml:space="preserve"> vi</w:t>
      </w:r>
      <w:r w:rsidRPr="009D3A6D">
        <w:rPr>
          <w:sz w:val="24"/>
        </w:rPr>
        <w:t>r</w:t>
      </w:r>
      <w:r w:rsidRPr="009D3A6D">
        <w:rPr>
          <w:sz w:val="24"/>
        </w:rPr>
        <w:t>tual environment for use in an exercise.  The need for small test environments is driven by the fact that most testing is done at the small test environment level.  Testing at that level will enable T&amp;E personnel to perform fr</w:t>
      </w:r>
      <w:r w:rsidRPr="009D3A6D">
        <w:rPr>
          <w:sz w:val="24"/>
        </w:rPr>
        <w:t>e</w:t>
      </w:r>
      <w:r w:rsidRPr="009D3A6D">
        <w:rPr>
          <w:sz w:val="24"/>
        </w:rPr>
        <w:t>quent iterations, identify system shortco</w:t>
      </w:r>
      <w:r w:rsidRPr="009D3A6D">
        <w:rPr>
          <w:sz w:val="24"/>
        </w:rPr>
        <w:t>m</w:t>
      </w:r>
      <w:r w:rsidRPr="009D3A6D">
        <w:rPr>
          <w:sz w:val="24"/>
        </w:rPr>
        <w:t>ings, and resolve inevitable mistakes in a b</w:t>
      </w:r>
      <w:r w:rsidRPr="009D3A6D">
        <w:rPr>
          <w:sz w:val="24"/>
        </w:rPr>
        <w:t>e</w:t>
      </w:r>
      <w:r w:rsidRPr="009D3A6D">
        <w:rPr>
          <w:sz w:val="24"/>
        </w:rPr>
        <w:t>nign environment.</w:t>
      </w:r>
    </w:p>
    <w:p w:rsidR="00D819C1" w:rsidRPr="009D3A6D" w:rsidRDefault="00D819C1" w:rsidP="00C4017A">
      <w:pPr>
        <w:rPr>
          <w:sz w:val="24"/>
        </w:rPr>
      </w:pPr>
    </w:p>
    <w:p w:rsidR="009D3A6D" w:rsidRDefault="00D819C1" w:rsidP="00C4017A">
      <w:pPr>
        <w:rPr>
          <w:sz w:val="24"/>
        </w:rPr>
      </w:pPr>
      <w:r w:rsidRPr="009D3A6D">
        <w:rPr>
          <w:noProof/>
          <w:sz w:val="24"/>
        </w:rPr>
        <w:t>The authors feel</w:t>
      </w:r>
      <w:r w:rsidRPr="009D3A6D">
        <w:rPr>
          <w:sz w:val="24"/>
        </w:rPr>
        <w:t xml:space="preserve"> that, as the cyber war threat becomes a major focus of key decision ma</w:t>
      </w:r>
      <w:r w:rsidRPr="009D3A6D">
        <w:rPr>
          <w:sz w:val="24"/>
        </w:rPr>
        <w:t>k</w:t>
      </w:r>
      <w:r w:rsidRPr="009D3A6D">
        <w:rPr>
          <w:sz w:val="24"/>
        </w:rPr>
        <w:t>ers, the demand for better systems, improved readiness assessment, and well tested conti</w:t>
      </w:r>
      <w:r w:rsidRPr="009D3A6D">
        <w:rPr>
          <w:sz w:val="24"/>
        </w:rPr>
        <w:t>n</w:t>
      </w:r>
      <w:r w:rsidRPr="009D3A6D">
        <w:rPr>
          <w:sz w:val="24"/>
        </w:rPr>
        <w:t xml:space="preserve">gency plans will become more and more </w:t>
      </w:r>
      <w:proofErr w:type="gramStart"/>
      <w:r w:rsidRPr="009D3A6D">
        <w:rPr>
          <w:sz w:val="24"/>
        </w:rPr>
        <w:t xml:space="preserve">vital </w:t>
      </w:r>
      <w:proofErr w:type="gramEnd"/>
      <w:r w:rsidR="00624870">
        <w:rPr>
          <w:rStyle w:val="EndnoteReference"/>
          <w:sz w:val="24"/>
        </w:rPr>
        <w:endnoteReference w:id="11"/>
      </w:r>
      <w:r w:rsidRPr="009D3A6D">
        <w:rPr>
          <w:sz w:val="24"/>
        </w:rPr>
        <w:t xml:space="preserve">.  Because of this, several cyber exercises have </w:t>
      </w:r>
      <w:r w:rsidR="009D3A6D">
        <w:rPr>
          <w:sz w:val="24"/>
        </w:rPr>
        <w:t>been held annually.  Figure 4</w:t>
      </w:r>
      <w:r w:rsidRPr="009D3A6D">
        <w:rPr>
          <w:sz w:val="24"/>
        </w:rPr>
        <w:t xml:space="preserve"> presents a notional view of the roles of the engaged o</w:t>
      </w:r>
      <w:r w:rsidRPr="009D3A6D">
        <w:rPr>
          <w:sz w:val="24"/>
        </w:rPr>
        <w:t>r</w:t>
      </w:r>
      <w:r w:rsidRPr="009D3A6D">
        <w:rPr>
          <w:sz w:val="24"/>
        </w:rPr>
        <w:t xml:space="preserve">ganizations’ players in these evolutions.  </w:t>
      </w:r>
    </w:p>
    <w:p w:rsidR="00D819C1" w:rsidRPr="009D3A6D" w:rsidRDefault="00D819C1" w:rsidP="00C4017A">
      <w:pPr>
        <w:rPr>
          <w:sz w:val="24"/>
        </w:rPr>
      </w:pPr>
      <w:r w:rsidRPr="009D3A6D">
        <w:rPr>
          <w:sz w:val="24"/>
        </w:rPr>
        <w:t>This requires collaborative efforts from all segments of the defense community: military, contractors and academics are essential for their success.  Contributions from the all of these entities and the personnel attached to them work together: the academic community  providing  new technology and research, the military community incorporating this into their training and operations, and industry providing the systems and maintenance to keep everything going.</w:t>
      </w:r>
    </w:p>
    <w:p w:rsidR="00D819C1" w:rsidRPr="006F6DB9" w:rsidRDefault="00D819C1" w:rsidP="00C4017A"/>
    <w:p w:rsidR="008B5005" w:rsidRDefault="008B5005">
      <w:pPr>
        <w:spacing w:after="200" w:line="276" w:lineRule="auto"/>
        <w:jc w:val="left"/>
        <w:rPr>
          <w:rFonts w:ascii="Arial" w:eastAsiaTheme="majorEastAsia" w:hAnsi="Arial" w:cstheme="majorBidi"/>
          <w:b/>
          <w:bCs/>
          <w:sz w:val="28"/>
          <w:szCs w:val="28"/>
        </w:rPr>
      </w:pPr>
      <w:r>
        <w:br w:type="page"/>
      </w:r>
    </w:p>
    <w:p w:rsidR="00D819C1" w:rsidRDefault="00BB3152" w:rsidP="008B5005">
      <w:pPr>
        <w:pStyle w:val="Heading2"/>
      </w:pPr>
      <w:r w:rsidRPr="00BB3152">
        <w:rPr>
          <w:noProof/>
          <w:sz w:val="24"/>
          <w:szCs w:val="24"/>
        </w:rPr>
        <w:lastRenderedPageBreak/>
        <w:pict>
          <v:shape id="_x0000_s1031" type="#_x0000_t202" style="position:absolute;margin-left:-12pt;margin-top:17.15pt;width:509.1pt;height:370.3pt;z-index:251656704" stroked="f">
            <v:textbox style="mso-next-textbox:#_x0000_s1031">
              <w:txbxContent>
                <w:p w:rsidR="00587012" w:rsidRDefault="00587012" w:rsidP="00AA55CD">
                  <w:pPr>
                    <w:ind w:left="720"/>
                    <w:rPr>
                      <w:noProof/>
                    </w:rPr>
                  </w:pPr>
                </w:p>
                <w:p w:rsidR="00587012" w:rsidRDefault="00587012" w:rsidP="008B5005">
                  <w:r w:rsidRPr="00B12690">
                    <w:rPr>
                      <w:noProof/>
                    </w:rPr>
                    <w:drawing>
                      <wp:inline distT="0" distB="0" distL="0" distR="0">
                        <wp:extent cx="6079601" cy="382443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1.pn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85467" cy="3828122"/>
                                </a:xfrm>
                                <a:prstGeom prst="rect">
                                  <a:avLst/>
                                </a:prstGeom>
                                <a:ln w="6350">
                                  <a:noFill/>
                                </a:ln>
                              </pic:spPr>
                            </pic:pic>
                          </a:graphicData>
                        </a:graphic>
                      </wp:inline>
                    </w:drawing>
                  </w:r>
                </w:p>
                <w:p w:rsidR="00587012" w:rsidRPr="008B5005" w:rsidRDefault="00587012" w:rsidP="00AA55CD">
                  <w:pPr>
                    <w:pStyle w:val="Caption"/>
                    <w:jc w:val="center"/>
                    <w:rPr>
                      <w:rFonts w:ascii="Garamond" w:hAnsi="Garamond"/>
                      <w:color w:val="auto"/>
                      <w:sz w:val="20"/>
                    </w:rPr>
                  </w:pPr>
                </w:p>
                <w:p w:rsidR="00587012" w:rsidRPr="008B5005" w:rsidRDefault="00587012" w:rsidP="00AA55CD">
                  <w:pPr>
                    <w:pStyle w:val="Caption"/>
                    <w:jc w:val="center"/>
                    <w:rPr>
                      <w:rFonts w:ascii="Garamond" w:hAnsi="Garamond"/>
                      <w:color w:val="auto"/>
                      <w:sz w:val="20"/>
                    </w:rPr>
                  </w:pPr>
                  <w:r w:rsidRPr="008B5005">
                    <w:rPr>
                      <w:rFonts w:ascii="Garamond" w:hAnsi="Garamond"/>
                      <w:color w:val="auto"/>
                      <w:sz w:val="20"/>
                    </w:rPr>
                    <w:t xml:space="preserve">Figure </w:t>
                  </w:r>
                  <w:r w:rsidR="00BB3152" w:rsidRPr="008B5005">
                    <w:rPr>
                      <w:rFonts w:ascii="Garamond" w:hAnsi="Garamond"/>
                      <w:color w:val="auto"/>
                      <w:sz w:val="20"/>
                    </w:rPr>
                    <w:fldChar w:fldCharType="begin"/>
                  </w:r>
                  <w:r w:rsidRPr="008B5005">
                    <w:rPr>
                      <w:rFonts w:ascii="Garamond" w:hAnsi="Garamond"/>
                      <w:color w:val="auto"/>
                      <w:sz w:val="20"/>
                    </w:rPr>
                    <w:instrText xml:space="preserve"> SEQ Figure \* ARABIC </w:instrText>
                  </w:r>
                  <w:r w:rsidR="00BB3152" w:rsidRPr="008B5005">
                    <w:rPr>
                      <w:rFonts w:ascii="Garamond" w:hAnsi="Garamond"/>
                      <w:color w:val="auto"/>
                      <w:sz w:val="20"/>
                    </w:rPr>
                    <w:fldChar w:fldCharType="separate"/>
                  </w:r>
                  <w:r>
                    <w:rPr>
                      <w:rFonts w:ascii="Garamond" w:hAnsi="Garamond"/>
                      <w:noProof/>
                      <w:color w:val="auto"/>
                      <w:sz w:val="20"/>
                    </w:rPr>
                    <w:t>5</w:t>
                  </w:r>
                  <w:r w:rsidR="00BB3152" w:rsidRPr="008B5005">
                    <w:rPr>
                      <w:rFonts w:ascii="Garamond" w:hAnsi="Garamond"/>
                      <w:color w:val="auto"/>
                      <w:sz w:val="20"/>
                    </w:rPr>
                    <w:fldChar w:fldCharType="end"/>
                  </w:r>
                  <w:r w:rsidRPr="008B5005">
                    <w:rPr>
                      <w:rFonts w:ascii="Garamond" w:hAnsi="Garamond"/>
                      <w:color w:val="auto"/>
                      <w:sz w:val="20"/>
                    </w:rPr>
                    <w:t>: Notional Diagram of Cyber Challenge Network</w:t>
                  </w:r>
                </w:p>
              </w:txbxContent>
            </v:textbox>
            <w10:wrap type="square"/>
          </v:shape>
        </w:pict>
      </w:r>
      <w:r w:rsidR="00D819C1">
        <w:t>The CQRTE System</w:t>
      </w:r>
    </w:p>
    <w:p w:rsidR="00D819C1" w:rsidRPr="0079367E" w:rsidRDefault="00D819C1" w:rsidP="008B5005">
      <w:pPr>
        <w:keepNext/>
        <w:keepLines/>
      </w:pPr>
    </w:p>
    <w:p w:rsidR="00D819C1" w:rsidRPr="009D3A6D" w:rsidRDefault="00D819C1" w:rsidP="00C4017A">
      <w:pPr>
        <w:rPr>
          <w:sz w:val="24"/>
          <w:szCs w:val="24"/>
        </w:rPr>
      </w:pPr>
      <w:r w:rsidRPr="009D3A6D">
        <w:rPr>
          <w:sz w:val="24"/>
          <w:szCs w:val="24"/>
        </w:rPr>
        <w:t>A unit of the Air National Guard led a cybersecurity training simulation team that included the University of Southern Califo</w:t>
      </w:r>
      <w:r w:rsidRPr="009D3A6D">
        <w:rPr>
          <w:sz w:val="24"/>
          <w:szCs w:val="24"/>
        </w:rPr>
        <w:t>r</w:t>
      </w:r>
      <w:r w:rsidRPr="009D3A6D">
        <w:rPr>
          <w:sz w:val="24"/>
          <w:szCs w:val="24"/>
        </w:rPr>
        <w:t xml:space="preserve">nia’s Information Sciences Institute (USC/ISI) and a National Laboratory.  They developed the Cyber Quick-Reaction Training Environment or CQRTE (pronounced </w:t>
      </w:r>
      <w:proofErr w:type="spellStart"/>
      <w:r w:rsidRPr="009D3A6D">
        <w:rPr>
          <w:i/>
          <w:sz w:val="24"/>
          <w:szCs w:val="24"/>
        </w:rPr>
        <w:t>kwerty</w:t>
      </w:r>
      <w:proofErr w:type="spellEnd"/>
      <w:r w:rsidRPr="009D3A6D">
        <w:rPr>
          <w:sz w:val="24"/>
          <w:szCs w:val="24"/>
        </w:rPr>
        <w:t>).  CQRTE was carefully designed to be multi-disciplinary and to accept a plethora of organizations into an environment to enable small-scale non-kinetic exercises. These would effectively model warfare principles and do</w:t>
      </w:r>
      <w:r w:rsidRPr="009D3A6D">
        <w:rPr>
          <w:sz w:val="24"/>
          <w:szCs w:val="24"/>
        </w:rPr>
        <w:t>c</w:t>
      </w:r>
      <w:r w:rsidRPr="009D3A6D">
        <w:rPr>
          <w:sz w:val="24"/>
          <w:szCs w:val="24"/>
        </w:rPr>
        <w:t>trines within the context of cyberspace and cyber warfare operations.  The system r</w:t>
      </w:r>
      <w:r w:rsidRPr="009D3A6D">
        <w:rPr>
          <w:sz w:val="24"/>
          <w:szCs w:val="24"/>
        </w:rPr>
        <w:t>e</w:t>
      </w:r>
      <w:r w:rsidRPr="009D3A6D">
        <w:rPr>
          <w:sz w:val="24"/>
          <w:szCs w:val="24"/>
        </w:rPr>
        <w:t>quired very few hardware resources, as shown in Figure 5.</w:t>
      </w:r>
    </w:p>
    <w:p w:rsidR="00D819C1" w:rsidRPr="009D3A6D" w:rsidRDefault="00D819C1" w:rsidP="00C4017A">
      <w:pPr>
        <w:rPr>
          <w:sz w:val="24"/>
          <w:szCs w:val="24"/>
        </w:rPr>
      </w:pPr>
    </w:p>
    <w:p w:rsidR="00D819C1" w:rsidRPr="009D3A6D" w:rsidRDefault="00D819C1" w:rsidP="00C4017A">
      <w:pPr>
        <w:rPr>
          <w:sz w:val="24"/>
        </w:rPr>
      </w:pPr>
      <w:r w:rsidRPr="009D3A6D">
        <w:rPr>
          <w:sz w:val="24"/>
        </w:rPr>
        <w:t>CQRTE approach displayed some very attra</w:t>
      </w:r>
      <w:r w:rsidRPr="009D3A6D">
        <w:rPr>
          <w:sz w:val="24"/>
        </w:rPr>
        <w:t>c</w:t>
      </w:r>
      <w:r w:rsidRPr="009D3A6D">
        <w:rPr>
          <w:sz w:val="24"/>
        </w:rPr>
        <w:t>tive characteristics, in that it leveraged low-cost and commonly available commodity hardware and no-cost open-source software. The system automated exercise setup and teardown, as well as providing scalable exe</w:t>
      </w:r>
      <w:r w:rsidRPr="009D3A6D">
        <w:rPr>
          <w:sz w:val="24"/>
        </w:rPr>
        <w:t>r</w:t>
      </w:r>
      <w:r w:rsidRPr="009D3A6D">
        <w:rPr>
          <w:sz w:val="24"/>
        </w:rPr>
        <w:t>cise configurations. This system that is aut</w:t>
      </w:r>
      <w:r w:rsidRPr="009D3A6D">
        <w:rPr>
          <w:sz w:val="24"/>
        </w:rPr>
        <w:t>o</w:t>
      </w:r>
      <w:r w:rsidRPr="009D3A6D">
        <w:rPr>
          <w:sz w:val="24"/>
        </w:rPr>
        <w:t>mation driven and it supports a diverse range of training objectives.  On the data side, it a</w:t>
      </w:r>
      <w:r w:rsidRPr="009D3A6D">
        <w:rPr>
          <w:sz w:val="24"/>
        </w:rPr>
        <w:t>s</w:t>
      </w:r>
      <w:r w:rsidRPr="009D3A6D">
        <w:rPr>
          <w:sz w:val="24"/>
        </w:rPr>
        <w:t>sured logging and analytics for complex data and enables integration with the ICS systems. The success and wide-spread adoption of the envisioned CQRTE can serve as a functioning example for those combatant organizations whose mission-set calls for continuous trai</w:t>
      </w:r>
      <w:r w:rsidRPr="009D3A6D">
        <w:rPr>
          <w:sz w:val="24"/>
        </w:rPr>
        <w:t>n</w:t>
      </w:r>
      <w:r w:rsidRPr="009D3A6D">
        <w:rPr>
          <w:sz w:val="24"/>
        </w:rPr>
        <w:t>ing, as well as making effective use of mode</w:t>
      </w:r>
      <w:r w:rsidRPr="009D3A6D">
        <w:rPr>
          <w:sz w:val="24"/>
        </w:rPr>
        <w:t>l</w:t>
      </w:r>
      <w:r w:rsidRPr="009D3A6D">
        <w:rPr>
          <w:sz w:val="24"/>
        </w:rPr>
        <w:t>ing and simulation to develop the tools and tactics in the cyberspace domain.  It was a replica model with which squadron and batta</w:t>
      </w:r>
      <w:r w:rsidRPr="009D3A6D">
        <w:rPr>
          <w:sz w:val="24"/>
        </w:rPr>
        <w:t>l</w:t>
      </w:r>
      <w:r w:rsidRPr="009D3A6D">
        <w:rPr>
          <w:sz w:val="24"/>
        </w:rPr>
        <w:lastRenderedPageBreak/>
        <w:t xml:space="preserve">ion-level organization can design, organize, and host cyber exercises with minimal cost. </w:t>
      </w:r>
      <w:r w:rsidRPr="009D3A6D">
        <w:rPr>
          <w:sz w:val="24"/>
        </w:rPr>
        <w:lastRenderedPageBreak/>
        <w:t>Figure 6 below shows some of the consoles and mock-ups used in the exercise.</w:t>
      </w:r>
    </w:p>
    <w:p w:rsidR="00D819C1" w:rsidRDefault="00D819C1" w:rsidP="00C4017A"/>
    <w:p w:rsidR="00AA55CD" w:rsidRDefault="00AA55CD" w:rsidP="0073236C">
      <w:pPr>
        <w:pStyle w:val="Heading2"/>
        <w:sectPr w:rsidR="00AA55CD" w:rsidSect="00523E95">
          <w:endnotePr>
            <w:numFmt w:val="decimal"/>
          </w:endnotePr>
          <w:type w:val="continuous"/>
          <w:pgSz w:w="12240" w:h="15840"/>
          <w:pgMar w:top="1440" w:right="1440" w:bottom="1440" w:left="1440" w:header="720" w:footer="720" w:gutter="0"/>
          <w:cols w:num="2"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A55CD" w:rsidRPr="00575E29" w:rsidTr="00587012">
        <w:tc>
          <w:tcPr>
            <w:tcW w:w="4788" w:type="dxa"/>
          </w:tcPr>
          <w:p w:rsidR="00AA55CD" w:rsidRDefault="00AA55CD" w:rsidP="00587012">
            <w:pPr>
              <w:keepNext/>
              <w:jc w:val="center"/>
            </w:pPr>
            <w:r w:rsidRPr="00575E29">
              <w:rPr>
                <w:noProof/>
              </w:rPr>
              <w:lastRenderedPageBreak/>
              <w:drawing>
                <wp:inline distT="0" distB="0" distL="0" distR="0">
                  <wp:extent cx="2926888" cy="2196935"/>
                  <wp:effectExtent l="19050" t="0" r="6812"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51.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8620" cy="2196465"/>
                          </a:xfrm>
                          <a:prstGeom prst="rect">
                            <a:avLst/>
                          </a:prstGeom>
                        </pic:spPr>
                      </pic:pic>
                    </a:graphicData>
                  </a:graphic>
                </wp:inline>
              </w:drawing>
            </w:r>
          </w:p>
        </w:tc>
        <w:tc>
          <w:tcPr>
            <w:tcW w:w="4788" w:type="dxa"/>
          </w:tcPr>
          <w:p w:rsidR="00AA55CD" w:rsidRPr="00575E29" w:rsidRDefault="00AA55CD" w:rsidP="00587012">
            <w:pPr>
              <w:keepNext/>
              <w:jc w:val="center"/>
            </w:pPr>
            <w:r w:rsidRPr="00575E29">
              <w:rPr>
                <w:noProof/>
              </w:rPr>
              <w:drawing>
                <wp:inline distT="0" distB="0" distL="0" distR="0">
                  <wp:extent cx="2928011" cy="2196009"/>
                  <wp:effectExtent l="19050" t="0" r="5689"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52.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4665" cy="2208499"/>
                          </a:xfrm>
                          <a:prstGeom prst="rect">
                            <a:avLst/>
                          </a:prstGeom>
                        </pic:spPr>
                      </pic:pic>
                    </a:graphicData>
                  </a:graphic>
                </wp:inline>
              </w:drawing>
            </w:r>
          </w:p>
        </w:tc>
      </w:tr>
      <w:tr w:rsidR="00AA55CD" w:rsidRPr="00575E29" w:rsidTr="00587012">
        <w:tc>
          <w:tcPr>
            <w:tcW w:w="4788" w:type="dxa"/>
          </w:tcPr>
          <w:p w:rsidR="00AA55CD" w:rsidRPr="00575E29" w:rsidRDefault="00AA55CD" w:rsidP="00587012">
            <w:pPr>
              <w:keepNext/>
              <w:jc w:val="center"/>
              <w:rPr>
                <w:rFonts w:ascii="Times New Roman" w:hAnsi="Times New Roman"/>
              </w:rPr>
            </w:pPr>
            <w:r w:rsidRPr="00575E29">
              <w:rPr>
                <w:rFonts w:ascii="Times New Roman" w:hAnsi="Times New Roman"/>
              </w:rPr>
              <w:t>A</w:t>
            </w:r>
          </w:p>
        </w:tc>
        <w:tc>
          <w:tcPr>
            <w:tcW w:w="4788" w:type="dxa"/>
          </w:tcPr>
          <w:p w:rsidR="00AA55CD" w:rsidRPr="00575E29" w:rsidRDefault="00AA55CD" w:rsidP="00587012">
            <w:pPr>
              <w:keepNext/>
              <w:jc w:val="center"/>
              <w:rPr>
                <w:rFonts w:ascii="Times New Roman" w:hAnsi="Times New Roman"/>
              </w:rPr>
            </w:pPr>
            <w:r w:rsidRPr="00575E29">
              <w:rPr>
                <w:rFonts w:ascii="Times New Roman" w:hAnsi="Times New Roman"/>
              </w:rPr>
              <w:t>B</w:t>
            </w:r>
          </w:p>
        </w:tc>
      </w:tr>
    </w:tbl>
    <w:p w:rsidR="00AA55CD" w:rsidRPr="008B5005" w:rsidRDefault="00AA55CD" w:rsidP="00AA55CD">
      <w:pPr>
        <w:pStyle w:val="Caption"/>
        <w:jc w:val="center"/>
        <w:rPr>
          <w:rFonts w:ascii="Garamond" w:hAnsi="Garamond"/>
          <w:color w:val="auto"/>
          <w:sz w:val="20"/>
        </w:rPr>
      </w:pPr>
      <w:r w:rsidRPr="008B5005">
        <w:rPr>
          <w:rFonts w:ascii="Garamond" w:hAnsi="Garamond"/>
          <w:color w:val="auto"/>
          <w:sz w:val="20"/>
        </w:rPr>
        <w:t xml:space="preserve">Figure </w:t>
      </w:r>
      <w:r w:rsidR="00BB3152" w:rsidRPr="008B5005">
        <w:rPr>
          <w:rFonts w:ascii="Garamond" w:hAnsi="Garamond"/>
          <w:color w:val="auto"/>
          <w:sz w:val="20"/>
        </w:rPr>
        <w:fldChar w:fldCharType="begin"/>
      </w:r>
      <w:r w:rsidRPr="008B5005">
        <w:rPr>
          <w:rFonts w:ascii="Garamond" w:hAnsi="Garamond"/>
          <w:color w:val="auto"/>
          <w:sz w:val="20"/>
        </w:rPr>
        <w:instrText xml:space="preserve"> SEQ Figure \* ARABIC </w:instrText>
      </w:r>
      <w:r w:rsidR="00BB3152" w:rsidRPr="008B5005">
        <w:rPr>
          <w:rFonts w:ascii="Garamond" w:hAnsi="Garamond"/>
          <w:color w:val="auto"/>
          <w:sz w:val="20"/>
        </w:rPr>
        <w:fldChar w:fldCharType="separate"/>
      </w:r>
      <w:r w:rsidR="00587012">
        <w:rPr>
          <w:rFonts w:ascii="Garamond" w:hAnsi="Garamond"/>
          <w:noProof/>
          <w:color w:val="auto"/>
          <w:sz w:val="20"/>
        </w:rPr>
        <w:t>6</w:t>
      </w:r>
      <w:r w:rsidR="00BB3152" w:rsidRPr="008B5005">
        <w:rPr>
          <w:rFonts w:ascii="Garamond" w:hAnsi="Garamond"/>
          <w:color w:val="auto"/>
          <w:sz w:val="20"/>
        </w:rPr>
        <w:fldChar w:fldCharType="end"/>
      </w:r>
      <w:r w:rsidRPr="008B5005">
        <w:rPr>
          <w:rFonts w:ascii="Garamond" w:hAnsi="Garamond"/>
          <w:color w:val="auto"/>
          <w:sz w:val="20"/>
        </w:rPr>
        <w:t xml:space="preserve"> - (a) Dual airport runways and radar control towers, </w:t>
      </w:r>
      <w:r w:rsidRPr="008B5005">
        <w:rPr>
          <w:rFonts w:ascii="Garamond" w:hAnsi="Garamond"/>
          <w:b w:val="0"/>
          <w:color w:val="auto"/>
          <w:sz w:val="20"/>
        </w:rPr>
        <w:br/>
      </w:r>
      <w:r w:rsidRPr="008B5005">
        <w:rPr>
          <w:rFonts w:ascii="Garamond" w:hAnsi="Garamond"/>
          <w:color w:val="auto"/>
          <w:sz w:val="20"/>
        </w:rPr>
        <w:t>(b) PLC flyaway kit providing power to the airport runways.</w:t>
      </w:r>
    </w:p>
    <w:p w:rsidR="00AA55CD" w:rsidRDefault="00AA55CD" w:rsidP="00AA55CD"/>
    <w:p w:rsidR="00AA55CD" w:rsidRPr="00AA55CD" w:rsidRDefault="00AA55CD" w:rsidP="00AA55CD">
      <w:pPr>
        <w:sectPr w:rsidR="00AA55CD" w:rsidRPr="00AA55CD" w:rsidSect="00AA55CD">
          <w:endnotePr>
            <w:numFmt w:val="decimal"/>
          </w:endnotePr>
          <w:type w:val="continuous"/>
          <w:pgSz w:w="12240" w:h="15840"/>
          <w:pgMar w:top="1440" w:right="1440" w:bottom="1440" w:left="1440" w:header="720" w:footer="720" w:gutter="0"/>
          <w:cols w:space="720"/>
          <w:titlePg/>
          <w:docGrid w:linePitch="360"/>
        </w:sectPr>
      </w:pPr>
    </w:p>
    <w:p w:rsidR="00D819C1" w:rsidRDefault="00D819C1" w:rsidP="0073236C">
      <w:pPr>
        <w:pStyle w:val="Heading2"/>
      </w:pPr>
      <w:r>
        <w:lastRenderedPageBreak/>
        <w:t>The Data Management Cha</w:t>
      </w:r>
      <w:r>
        <w:t>l</w:t>
      </w:r>
      <w:r>
        <w:t xml:space="preserve">lenges </w:t>
      </w:r>
    </w:p>
    <w:p w:rsidR="00D819C1" w:rsidRDefault="00D819C1" w:rsidP="00C4017A"/>
    <w:p w:rsidR="00D819C1" w:rsidRPr="00AA55CD" w:rsidRDefault="00D819C1" w:rsidP="00C4017A">
      <w:pPr>
        <w:rPr>
          <w:sz w:val="24"/>
        </w:rPr>
      </w:pPr>
      <w:r w:rsidRPr="00AA55CD">
        <w:rPr>
          <w:sz w:val="24"/>
        </w:rPr>
        <w:t>This initiative has a very precise focus, i.e. the simulated environment has to be very effe</w:t>
      </w:r>
      <w:r w:rsidRPr="00AA55CD">
        <w:rPr>
          <w:sz w:val="24"/>
        </w:rPr>
        <w:t>c</w:t>
      </w:r>
      <w:r w:rsidRPr="00AA55CD">
        <w:rPr>
          <w:sz w:val="24"/>
        </w:rPr>
        <w:t>tive if run by just a small unit, but must be scalable to serve a collection of units if a state-wide or region-wide exercise is planned. All of this must be done with minimal hardware and software costs, excellent security, and easily mastered technology.  So, flowing from that, there are a number of challenges that faced the data-management team.  They will be listed but briefly, knowing that they will be familiar to the vast majority of the readers of this paper.</w:t>
      </w:r>
    </w:p>
    <w:p w:rsidR="00D819C1" w:rsidRPr="00AA55CD" w:rsidRDefault="00D819C1" w:rsidP="00C4017A">
      <w:pPr>
        <w:rPr>
          <w:sz w:val="24"/>
        </w:rPr>
      </w:pPr>
    </w:p>
    <w:p w:rsidR="00D819C1" w:rsidRPr="00AA55CD" w:rsidRDefault="00D819C1" w:rsidP="00C4017A">
      <w:pPr>
        <w:rPr>
          <w:sz w:val="24"/>
        </w:rPr>
      </w:pPr>
      <w:r w:rsidRPr="00AA55CD">
        <w:rPr>
          <w:sz w:val="24"/>
        </w:rPr>
        <w:t>The major challenge was to understand the needs of the users, all of the users and that will be addressed in the next section.  Each new project will present a new set of user goals and even old projects will see user needs change over time.  Careful attention must be paid to meeting this challenge and reassessing it periodically.</w:t>
      </w:r>
    </w:p>
    <w:p w:rsidR="00D819C1" w:rsidRPr="00AA55CD" w:rsidRDefault="00D819C1" w:rsidP="00C4017A">
      <w:pPr>
        <w:rPr>
          <w:sz w:val="24"/>
        </w:rPr>
      </w:pPr>
    </w:p>
    <w:p w:rsidR="00D819C1" w:rsidRPr="00AA55CD" w:rsidRDefault="00D819C1" w:rsidP="00C4017A">
      <w:pPr>
        <w:rPr>
          <w:sz w:val="24"/>
        </w:rPr>
      </w:pPr>
      <w:r w:rsidRPr="00AA55CD">
        <w:rPr>
          <w:sz w:val="24"/>
        </w:rPr>
        <w:t>The second challenge was providing a flexible storage mechanism capable of storing a vari</w:t>
      </w:r>
      <w:r w:rsidRPr="00AA55CD">
        <w:rPr>
          <w:sz w:val="24"/>
        </w:rPr>
        <w:t>e</w:t>
      </w:r>
      <w:r w:rsidRPr="00AA55CD">
        <w:rPr>
          <w:sz w:val="24"/>
        </w:rPr>
        <w:t>ty of cyber events without extensive modific</w:t>
      </w:r>
      <w:r w:rsidRPr="00AA55CD">
        <w:rPr>
          <w:sz w:val="24"/>
        </w:rPr>
        <w:t>a</w:t>
      </w:r>
      <w:r w:rsidRPr="00AA55CD">
        <w:rPr>
          <w:sz w:val="24"/>
        </w:rPr>
        <w:t>tion or programming. Previously, in the JESPP experiments the message structures, including message type and message fields, were defined formally in Federation Object Models (FOMs) several months ahead of the actual exercise. This enabled us to use rel</w:t>
      </w:r>
      <w:r w:rsidRPr="00AA55CD">
        <w:rPr>
          <w:sz w:val="24"/>
        </w:rPr>
        <w:t>a</w:t>
      </w:r>
      <w:r w:rsidRPr="00AA55CD">
        <w:rPr>
          <w:sz w:val="24"/>
        </w:rPr>
        <w:t xml:space="preserve">tional databases with fixed schemas. For Cyber Guard the space of cyber events need to be logged are much more fluid and difficult to </w:t>
      </w:r>
      <w:proofErr w:type="gramStart"/>
      <w:r w:rsidRPr="00AA55CD">
        <w:rPr>
          <w:sz w:val="24"/>
        </w:rPr>
        <w:t>bound</w:t>
      </w:r>
      <w:proofErr w:type="gramEnd"/>
      <w:r w:rsidRPr="00AA55CD">
        <w:rPr>
          <w:sz w:val="24"/>
        </w:rPr>
        <w:t>. These events emanate from range of sources including Linux and Windows O</w:t>
      </w:r>
      <w:r w:rsidRPr="00AA55CD">
        <w:rPr>
          <w:sz w:val="24"/>
        </w:rPr>
        <w:t>p</w:t>
      </w:r>
      <w:r w:rsidRPr="00AA55CD">
        <w:rPr>
          <w:sz w:val="24"/>
        </w:rPr>
        <w:t>erating System events, file system modific</w:t>
      </w:r>
      <w:r w:rsidRPr="00AA55CD">
        <w:rPr>
          <w:sz w:val="24"/>
        </w:rPr>
        <w:t>a</w:t>
      </w:r>
      <w:r w:rsidRPr="00AA55CD">
        <w:rPr>
          <w:sz w:val="24"/>
        </w:rPr>
        <w:t>tions, network traffic and application-level events.</w:t>
      </w:r>
    </w:p>
    <w:p w:rsidR="00D819C1" w:rsidRPr="00AA55CD" w:rsidRDefault="00D819C1" w:rsidP="00C4017A">
      <w:pPr>
        <w:rPr>
          <w:sz w:val="24"/>
        </w:rPr>
      </w:pPr>
    </w:p>
    <w:p w:rsidR="00D819C1" w:rsidRPr="00AA55CD" w:rsidRDefault="00D819C1" w:rsidP="00C4017A">
      <w:pPr>
        <w:rPr>
          <w:sz w:val="24"/>
        </w:rPr>
      </w:pPr>
      <w:r w:rsidRPr="00AA55CD">
        <w:rPr>
          <w:sz w:val="24"/>
        </w:rPr>
        <w:t>A third challenge was the one of collecting the data effectively without bogging down the simulations itself. Fortunately, the experience from the JESPP project prepared the team well to address this challenge.  Bandwidth is still critical and connectivity fraught with lim</w:t>
      </w:r>
      <w:r w:rsidRPr="00AA55CD">
        <w:rPr>
          <w:sz w:val="24"/>
        </w:rPr>
        <w:t>i</w:t>
      </w:r>
      <w:r w:rsidRPr="00AA55CD">
        <w:rPr>
          <w:sz w:val="24"/>
        </w:rPr>
        <w:t xml:space="preserve">tations and inconsistencies.  The cost of disks however is modest and it is possible to store a </w:t>
      </w:r>
      <w:r w:rsidRPr="00AA55CD">
        <w:rPr>
          <w:sz w:val="24"/>
        </w:rPr>
        <w:lastRenderedPageBreak/>
        <w:t>lot of the data on the machine generating that data, recovering it for analysis and use via the techniques developed in the JESPP Project</w:t>
      </w:r>
      <w:r w:rsidR="00624870">
        <w:rPr>
          <w:rStyle w:val="EndnoteReference"/>
          <w:sz w:val="24"/>
        </w:rPr>
        <w:endnoteReference w:id="12"/>
      </w:r>
      <w:r w:rsidR="004D5CA8">
        <w:rPr>
          <w:sz w:val="24"/>
        </w:rPr>
        <w:t>.</w:t>
      </w:r>
    </w:p>
    <w:p w:rsidR="00D819C1" w:rsidRPr="00AA55CD" w:rsidRDefault="00D819C1" w:rsidP="00C4017A">
      <w:pPr>
        <w:rPr>
          <w:sz w:val="24"/>
        </w:rPr>
      </w:pPr>
    </w:p>
    <w:p w:rsidR="00D819C1" w:rsidRPr="00AA55CD" w:rsidRDefault="00D819C1" w:rsidP="00C4017A">
      <w:pPr>
        <w:rPr>
          <w:sz w:val="24"/>
        </w:rPr>
      </w:pPr>
      <w:r w:rsidRPr="00AA55CD">
        <w:rPr>
          <w:sz w:val="24"/>
        </w:rPr>
        <w:t>A fourth challenge was that of using data management techniques that were easily wit</w:t>
      </w:r>
      <w:r w:rsidRPr="00AA55CD">
        <w:rPr>
          <w:sz w:val="24"/>
        </w:rPr>
        <w:t>h</w:t>
      </w:r>
      <w:r w:rsidRPr="00AA55CD">
        <w:rPr>
          <w:sz w:val="24"/>
        </w:rPr>
        <w:t>in the grasp of non-computer science tec</w:t>
      </w:r>
      <w:r w:rsidRPr="00AA55CD">
        <w:rPr>
          <w:sz w:val="24"/>
        </w:rPr>
        <w:t>h</w:t>
      </w:r>
      <w:r w:rsidRPr="00AA55CD">
        <w:rPr>
          <w:sz w:val="24"/>
        </w:rPr>
        <w:t>nical personnel, many of whom are excellent coders, but haven’t the background in dat</w:t>
      </w:r>
      <w:r w:rsidRPr="00AA55CD">
        <w:rPr>
          <w:sz w:val="24"/>
        </w:rPr>
        <w:t>a</w:t>
      </w:r>
      <w:r w:rsidRPr="00AA55CD">
        <w:rPr>
          <w:sz w:val="24"/>
        </w:rPr>
        <w:t>base design and use that comes with formal training in computer science. With a little a</w:t>
      </w:r>
      <w:r w:rsidRPr="00AA55CD">
        <w:rPr>
          <w:sz w:val="24"/>
        </w:rPr>
        <w:t>t</w:t>
      </w:r>
      <w:r w:rsidRPr="00AA55CD">
        <w:rPr>
          <w:sz w:val="24"/>
        </w:rPr>
        <w:t>tention to detail, the data system was designed to make it accessible and maintainable by the unit staffs.</w:t>
      </w:r>
    </w:p>
    <w:p w:rsidR="00D819C1" w:rsidRPr="00AA55CD" w:rsidRDefault="00D819C1" w:rsidP="00C4017A">
      <w:pPr>
        <w:rPr>
          <w:sz w:val="24"/>
        </w:rPr>
      </w:pPr>
    </w:p>
    <w:p w:rsidR="00D819C1" w:rsidRPr="00AA55CD" w:rsidRDefault="00D819C1" w:rsidP="00C4017A">
      <w:pPr>
        <w:rPr>
          <w:sz w:val="24"/>
        </w:rPr>
      </w:pPr>
      <w:r w:rsidRPr="00AA55CD">
        <w:rPr>
          <w:sz w:val="24"/>
        </w:rPr>
        <w:t>A fifth challenge was quantifying the level of security required.  While the work being done was not necessarily of high levels of classific</w:t>
      </w:r>
      <w:r w:rsidRPr="00AA55CD">
        <w:rPr>
          <w:sz w:val="24"/>
        </w:rPr>
        <w:t>a</w:t>
      </w:r>
      <w:r w:rsidRPr="00AA55CD">
        <w:rPr>
          <w:sz w:val="24"/>
        </w:rPr>
        <w:t>tion, one certainly would not want potential foes gaining easy access to the exercise, where they could either assess the level of readiness of the unit, hence its vulnerabilities or intrude in malicious ways to implant malicious codes or disrupt training.</w:t>
      </w:r>
    </w:p>
    <w:p w:rsidR="00D819C1" w:rsidRPr="00AA55CD" w:rsidRDefault="00D819C1" w:rsidP="00C4017A">
      <w:pPr>
        <w:rPr>
          <w:sz w:val="24"/>
        </w:rPr>
      </w:pPr>
    </w:p>
    <w:p w:rsidR="00D819C1" w:rsidRPr="00AA55CD" w:rsidRDefault="00D819C1" w:rsidP="00C4017A">
      <w:pPr>
        <w:rPr>
          <w:sz w:val="24"/>
        </w:rPr>
      </w:pPr>
      <w:r w:rsidRPr="00AA55CD">
        <w:rPr>
          <w:sz w:val="24"/>
        </w:rPr>
        <w:t>A final challenge was providing a flexible an</w:t>
      </w:r>
      <w:r w:rsidRPr="00AA55CD">
        <w:rPr>
          <w:sz w:val="24"/>
        </w:rPr>
        <w:t>a</w:t>
      </w:r>
      <w:r w:rsidRPr="00AA55CD">
        <w:rPr>
          <w:sz w:val="24"/>
        </w:rPr>
        <w:t>lytical framework to query the stored data di</w:t>
      </w:r>
      <w:r w:rsidRPr="00AA55CD">
        <w:rPr>
          <w:sz w:val="24"/>
        </w:rPr>
        <w:t>s</w:t>
      </w:r>
      <w:r w:rsidRPr="00AA55CD">
        <w:rPr>
          <w:sz w:val="24"/>
        </w:rPr>
        <w:t>cover and link relevant over time events to discover attackers, especially advanced persi</w:t>
      </w:r>
      <w:r w:rsidRPr="00AA55CD">
        <w:rPr>
          <w:sz w:val="24"/>
        </w:rPr>
        <w:t>s</w:t>
      </w:r>
      <w:r w:rsidRPr="00AA55CD">
        <w:rPr>
          <w:sz w:val="24"/>
        </w:rPr>
        <w:t xml:space="preserve">tent threats (ATPs) </w:t>
      </w:r>
      <w:proofErr w:type="gramStart"/>
      <w:r w:rsidRPr="00AA55CD">
        <w:rPr>
          <w:sz w:val="24"/>
        </w:rPr>
        <w:t>who</w:t>
      </w:r>
      <w:proofErr w:type="gramEnd"/>
      <w:r w:rsidRPr="00AA55CD">
        <w:rPr>
          <w:sz w:val="24"/>
        </w:rPr>
        <w:t xml:space="preserve"> employ slow and d</w:t>
      </w:r>
      <w:r w:rsidRPr="00AA55CD">
        <w:rPr>
          <w:sz w:val="24"/>
        </w:rPr>
        <w:t>e</w:t>
      </w:r>
      <w:r w:rsidRPr="00AA55CD">
        <w:rPr>
          <w:sz w:val="24"/>
        </w:rPr>
        <w:t>liberate methodologies to avoid detection. The system should provide query facilities to discover attack surfaces used to enter the sy</w:t>
      </w:r>
      <w:r w:rsidRPr="00AA55CD">
        <w:rPr>
          <w:sz w:val="24"/>
        </w:rPr>
        <w:t>s</w:t>
      </w:r>
      <w:r w:rsidRPr="00AA55CD">
        <w:rPr>
          <w:sz w:val="24"/>
        </w:rPr>
        <w:t>tem, attempts by the attacker to escalate priv</w:t>
      </w:r>
      <w:r w:rsidRPr="00AA55CD">
        <w:rPr>
          <w:sz w:val="24"/>
        </w:rPr>
        <w:t>i</w:t>
      </w:r>
      <w:r w:rsidRPr="00AA55CD">
        <w:rPr>
          <w:sz w:val="24"/>
        </w:rPr>
        <w:t>leges, attacks on adjacent systems, attacker command and control, and overview of sy</w:t>
      </w:r>
      <w:r w:rsidRPr="00AA55CD">
        <w:rPr>
          <w:sz w:val="24"/>
        </w:rPr>
        <w:t>s</w:t>
      </w:r>
      <w:r w:rsidRPr="00AA55CD">
        <w:rPr>
          <w:sz w:val="24"/>
        </w:rPr>
        <w:t>tems and resources compromised by the a</w:t>
      </w:r>
      <w:r w:rsidRPr="00AA55CD">
        <w:rPr>
          <w:sz w:val="24"/>
        </w:rPr>
        <w:t>t</w:t>
      </w:r>
      <w:r w:rsidRPr="00AA55CD">
        <w:rPr>
          <w:sz w:val="24"/>
        </w:rPr>
        <w:t>tacker.</w:t>
      </w:r>
    </w:p>
    <w:p w:rsidR="00D819C1" w:rsidRDefault="00D819C1" w:rsidP="00C4017A"/>
    <w:p w:rsidR="00D819C1" w:rsidRPr="00D14ECC" w:rsidRDefault="00D819C1" w:rsidP="0073236C">
      <w:pPr>
        <w:pStyle w:val="Heading2"/>
      </w:pPr>
      <w:r>
        <w:t xml:space="preserve">Assessing the Users’ Needs </w:t>
      </w:r>
    </w:p>
    <w:p w:rsidR="00D819C1" w:rsidRDefault="00D819C1" w:rsidP="00C4017A"/>
    <w:p w:rsidR="00D819C1" w:rsidRPr="00AA55CD" w:rsidRDefault="00D819C1" w:rsidP="00C4017A">
      <w:pPr>
        <w:rPr>
          <w:sz w:val="24"/>
        </w:rPr>
      </w:pPr>
      <w:r w:rsidRPr="00AA55CD">
        <w:rPr>
          <w:sz w:val="24"/>
        </w:rPr>
        <w:t>For the design of the JESPP project for JFCOM, many of the authors, Yao, Davis, Tran and Lucas, sat with the analysts for many eight-hour shifts, responding to computer and communication issues, but becoming int</w:t>
      </w:r>
      <w:r w:rsidRPr="00AA55CD">
        <w:rPr>
          <w:sz w:val="24"/>
        </w:rPr>
        <w:t>i</w:t>
      </w:r>
      <w:r w:rsidRPr="00AA55CD">
        <w:rPr>
          <w:sz w:val="24"/>
        </w:rPr>
        <w:lastRenderedPageBreak/>
        <w:t>mately familiar with the operators, their issues, their skills and their needs. Then, Dr. Yao in particular, they were able to assess the best way to conceptualize, design, implement, and modify the data management system.  That luxury was not afforded to the team in the Cyber Challenge system design.  In this case, the internalized experience of the personnel on the team, Lt. Col. Hire, Major Tran, and Lieutenant Castello had to provide the “cyber security lore” necessary.  That was then co</w:t>
      </w:r>
      <w:r w:rsidRPr="00AA55CD">
        <w:rPr>
          <w:sz w:val="24"/>
        </w:rPr>
        <w:t>m</w:t>
      </w:r>
      <w:r w:rsidRPr="00AA55CD">
        <w:rPr>
          <w:sz w:val="24"/>
        </w:rPr>
        <w:t>bined with generalized knowledge of cyber security held by the rest of the team.</w:t>
      </w:r>
    </w:p>
    <w:p w:rsidR="00D819C1" w:rsidRPr="00AA55CD" w:rsidRDefault="00D819C1" w:rsidP="00C4017A">
      <w:pPr>
        <w:rPr>
          <w:sz w:val="24"/>
        </w:rPr>
      </w:pPr>
    </w:p>
    <w:p w:rsidR="00D819C1" w:rsidRPr="00AA55CD" w:rsidRDefault="00D819C1" w:rsidP="00C4017A">
      <w:pPr>
        <w:rPr>
          <w:b/>
          <w:sz w:val="24"/>
        </w:rPr>
      </w:pPr>
      <w:r w:rsidRPr="00AA55CD">
        <w:rPr>
          <w:sz w:val="24"/>
        </w:rPr>
        <w:t>This technique was then incorporated in the design, the testing of which be discussed b</w:t>
      </w:r>
      <w:r w:rsidRPr="00AA55CD">
        <w:rPr>
          <w:sz w:val="24"/>
        </w:rPr>
        <w:t>e</w:t>
      </w:r>
      <w:r w:rsidRPr="00AA55CD">
        <w:rPr>
          <w:sz w:val="24"/>
        </w:rPr>
        <w:t>low.  The test provided an opportunity to both validate the choices of the designers and to provide feedback for future enhancement and modifications</w:t>
      </w:r>
      <w:r w:rsidR="00624870">
        <w:rPr>
          <w:rStyle w:val="EndnoteReference"/>
          <w:sz w:val="24"/>
        </w:rPr>
        <w:endnoteReference w:id="13"/>
      </w:r>
      <w:r w:rsidRPr="00AA55CD">
        <w:rPr>
          <w:sz w:val="24"/>
        </w:rPr>
        <w:t>. There is always tension in this process among the drives to provide the user with what they are familiar, to provide a more effective approach, and to program in the most elegant way.  The authors have o</w:t>
      </w:r>
      <w:r w:rsidRPr="00AA55CD">
        <w:rPr>
          <w:sz w:val="24"/>
        </w:rPr>
        <w:t>b</w:t>
      </w:r>
      <w:r w:rsidRPr="00AA55CD">
        <w:rPr>
          <w:sz w:val="24"/>
        </w:rPr>
        <w:t>served on many programs that serendipity also contributes in the form of operators di</w:t>
      </w:r>
      <w:r w:rsidRPr="00AA55CD">
        <w:rPr>
          <w:sz w:val="24"/>
        </w:rPr>
        <w:t>s</w:t>
      </w:r>
      <w:r w:rsidRPr="00AA55CD">
        <w:rPr>
          <w:sz w:val="24"/>
        </w:rPr>
        <w:t xml:space="preserve">covering a new way to use code functionality that was neither identified nor intended by the coders and neither recognized nor requested by the user.  Designers, coders and users all need to be alert for such opportunities.  Any such insights must be noted, memorialized and disseminated immediately, in the form of brain-storm notes, </w:t>
      </w:r>
      <w:r w:rsidRPr="00AA55CD">
        <w:rPr>
          <w:i/>
          <w:sz w:val="24"/>
        </w:rPr>
        <w:t>i.e</w:t>
      </w:r>
      <w:r w:rsidRPr="00AA55CD">
        <w:rPr>
          <w:sz w:val="24"/>
        </w:rPr>
        <w:t>. free from constraints as to defensibility, grammar, spelling, or ego-involvement.  The object is not to lose valu</w:t>
      </w:r>
      <w:r w:rsidRPr="00AA55CD">
        <w:rPr>
          <w:sz w:val="24"/>
        </w:rPr>
        <w:t>a</w:t>
      </w:r>
      <w:r w:rsidRPr="00AA55CD">
        <w:rPr>
          <w:sz w:val="24"/>
        </w:rPr>
        <w:t>ble design information and deny to the users’ a capability that may have been critical.</w:t>
      </w:r>
    </w:p>
    <w:p w:rsidR="00D819C1" w:rsidRDefault="00D819C1" w:rsidP="00C4017A"/>
    <w:p w:rsidR="00D819C1" w:rsidRPr="00D14ECC" w:rsidRDefault="00D819C1" w:rsidP="008B5005">
      <w:pPr>
        <w:pStyle w:val="Heading2"/>
      </w:pPr>
      <w:r>
        <w:t xml:space="preserve">Surveying Candidate </w:t>
      </w:r>
      <w:r w:rsidR="008B5005">
        <w:br/>
      </w:r>
      <w:r>
        <w:t>Techniques and Technologies</w:t>
      </w:r>
    </w:p>
    <w:p w:rsidR="00D819C1" w:rsidRDefault="00D819C1" w:rsidP="008B5005">
      <w:pPr>
        <w:keepNext/>
        <w:keepLines/>
      </w:pPr>
    </w:p>
    <w:p w:rsidR="00D819C1" w:rsidRPr="00AA55CD" w:rsidRDefault="00D819C1" w:rsidP="00C4017A">
      <w:pPr>
        <w:rPr>
          <w:sz w:val="24"/>
        </w:rPr>
      </w:pPr>
      <w:r w:rsidRPr="00AA55CD">
        <w:rPr>
          <w:sz w:val="24"/>
        </w:rPr>
        <w:t>Having laid down the foundations described above, a design team should follow accepted good practices in formulating, designing, i</w:t>
      </w:r>
      <w:r w:rsidRPr="00AA55CD">
        <w:rPr>
          <w:sz w:val="24"/>
        </w:rPr>
        <w:t>m</w:t>
      </w:r>
      <w:r w:rsidRPr="00AA55CD">
        <w:rPr>
          <w:sz w:val="24"/>
        </w:rPr>
        <w:lastRenderedPageBreak/>
        <w:t>plementing, and testing the code. This team is oriented toward developing code in research settings and are therefore more inclined to follow accepted procedures in that enviro</w:t>
      </w:r>
      <w:r w:rsidRPr="00AA55CD">
        <w:rPr>
          <w:sz w:val="24"/>
        </w:rPr>
        <w:t>n</w:t>
      </w:r>
      <w:r w:rsidRPr="00AA55CD">
        <w:rPr>
          <w:sz w:val="24"/>
        </w:rPr>
        <w:t>ment.</w:t>
      </w:r>
      <w:r w:rsidR="00624870">
        <w:rPr>
          <w:rStyle w:val="EndnoteReference"/>
          <w:sz w:val="24"/>
        </w:rPr>
        <w:endnoteReference w:id="14"/>
      </w:r>
      <w:r w:rsidR="004D5CA8">
        <w:rPr>
          <w:sz w:val="24"/>
        </w:rPr>
        <w:t>.</w:t>
      </w:r>
      <w:r w:rsidRPr="00AA55CD">
        <w:rPr>
          <w:sz w:val="24"/>
        </w:rPr>
        <w:t xml:space="preserve">  Other team may be familiar with their own discipline’s standards of practice and would be similarly well advised to follow those.  This team is aware as well of the insi</w:t>
      </w:r>
      <w:r w:rsidRPr="00AA55CD">
        <w:rPr>
          <w:sz w:val="24"/>
        </w:rPr>
        <w:t>d</w:t>
      </w:r>
      <w:r w:rsidRPr="00AA55CD">
        <w:rPr>
          <w:sz w:val="24"/>
        </w:rPr>
        <w:t>ious pressure to learn the latest trick and i</w:t>
      </w:r>
      <w:r w:rsidRPr="00AA55CD">
        <w:rPr>
          <w:sz w:val="24"/>
        </w:rPr>
        <w:t>m</w:t>
      </w:r>
      <w:r w:rsidRPr="00AA55CD">
        <w:rPr>
          <w:sz w:val="24"/>
        </w:rPr>
        <w:t>plement the latest solutions and therefore are assiduous in their evaluation of competing techniques based on the utility to the user, the economies presented, and the security assu</w:t>
      </w:r>
      <w:r w:rsidRPr="00AA55CD">
        <w:rPr>
          <w:sz w:val="24"/>
        </w:rPr>
        <w:t>r</w:t>
      </w:r>
      <w:r w:rsidRPr="00AA55CD">
        <w:rPr>
          <w:sz w:val="24"/>
        </w:rPr>
        <w:t xml:space="preserve">ance issues.  </w:t>
      </w:r>
    </w:p>
    <w:p w:rsidR="00D819C1" w:rsidRPr="00AA55CD" w:rsidRDefault="00D819C1" w:rsidP="00C4017A">
      <w:pPr>
        <w:rPr>
          <w:sz w:val="24"/>
        </w:rPr>
      </w:pPr>
    </w:p>
    <w:p w:rsidR="00D819C1" w:rsidRPr="00AA55CD" w:rsidRDefault="00D819C1" w:rsidP="00C4017A">
      <w:pPr>
        <w:rPr>
          <w:sz w:val="24"/>
        </w:rPr>
      </w:pPr>
      <w:r w:rsidRPr="00AA55CD">
        <w:rPr>
          <w:sz w:val="24"/>
        </w:rPr>
        <w:t>We surveyed a range of candidate technol</w:t>
      </w:r>
      <w:r w:rsidRPr="00AA55CD">
        <w:rPr>
          <w:sz w:val="24"/>
        </w:rPr>
        <w:t>o</w:t>
      </w:r>
      <w:r w:rsidRPr="00AA55CD">
        <w:rPr>
          <w:sz w:val="24"/>
        </w:rPr>
        <w:t xml:space="preserve">gies, each with its strength and weaknesses. Relational database technology is the most mature with well-defined SQL query language and with solid open-source implementations (such as </w:t>
      </w:r>
      <w:proofErr w:type="spellStart"/>
      <w:r w:rsidRPr="00AA55CD">
        <w:rPr>
          <w:sz w:val="24"/>
        </w:rPr>
        <w:t>Postgres</w:t>
      </w:r>
      <w:proofErr w:type="spellEnd"/>
      <w:r w:rsidRPr="00AA55CD">
        <w:rPr>
          <w:sz w:val="24"/>
        </w:rPr>
        <w:t xml:space="preserve"> and </w:t>
      </w:r>
      <w:proofErr w:type="spellStart"/>
      <w:r w:rsidRPr="00AA55CD">
        <w:rPr>
          <w:sz w:val="24"/>
        </w:rPr>
        <w:t>MySQL</w:t>
      </w:r>
      <w:proofErr w:type="spellEnd"/>
      <w:r w:rsidRPr="00AA55CD">
        <w:rPr>
          <w:sz w:val="24"/>
        </w:rPr>
        <w:t>). However, the data storage provide by relational databases are relatively inflexible, since they require pr</w:t>
      </w:r>
      <w:r w:rsidRPr="00AA55CD">
        <w:rPr>
          <w:sz w:val="24"/>
        </w:rPr>
        <w:t>e</w:t>
      </w:r>
      <w:r w:rsidRPr="00AA55CD">
        <w:rPr>
          <w:sz w:val="24"/>
        </w:rPr>
        <w:t xml:space="preserve">defined data schemas. Recently, </w:t>
      </w:r>
      <w:proofErr w:type="spellStart"/>
      <w:r w:rsidRPr="00AA55CD">
        <w:rPr>
          <w:sz w:val="24"/>
        </w:rPr>
        <w:t>noSQL</w:t>
      </w:r>
      <w:proofErr w:type="spellEnd"/>
      <w:r w:rsidRPr="00AA55CD">
        <w:rPr>
          <w:sz w:val="24"/>
        </w:rPr>
        <w:t xml:space="preserve"> sto</w:t>
      </w:r>
      <w:r w:rsidRPr="00AA55CD">
        <w:rPr>
          <w:sz w:val="24"/>
        </w:rPr>
        <w:t>r</w:t>
      </w:r>
      <w:r w:rsidRPr="00AA55CD">
        <w:rPr>
          <w:sz w:val="24"/>
        </w:rPr>
        <w:t>age technologies have emerged to overcome weaknesses in relational databases. The tec</w:t>
      </w:r>
      <w:r w:rsidRPr="00AA55CD">
        <w:rPr>
          <w:sz w:val="24"/>
        </w:rPr>
        <w:t>h</w:t>
      </w:r>
      <w:r w:rsidRPr="00AA55CD">
        <w:rPr>
          <w:sz w:val="24"/>
        </w:rPr>
        <w:t>nologies include column-oriented databases, document databases, and graph databases. Column-oriented databases are similar to rel</w:t>
      </w:r>
      <w:r w:rsidRPr="00AA55CD">
        <w:rPr>
          <w:sz w:val="24"/>
        </w:rPr>
        <w:t>a</w:t>
      </w:r>
      <w:r w:rsidRPr="00AA55CD">
        <w:rPr>
          <w:sz w:val="24"/>
        </w:rPr>
        <w:t>tional databases, except that the relational t</w:t>
      </w:r>
      <w:r w:rsidRPr="00AA55CD">
        <w:rPr>
          <w:sz w:val="24"/>
        </w:rPr>
        <w:t>a</w:t>
      </w:r>
      <w:r w:rsidRPr="00AA55CD">
        <w:rPr>
          <w:sz w:val="24"/>
        </w:rPr>
        <w:t>bles are stored column-wise, instead of row-wise. Column-wise storages are better suited for data analytics, since they provide efficient column attribute sequential scans, which can be used to gather statistics (e.g., mean and standard deviation). Row-wise storages are better suited for fast atomic updates. Howe</w:t>
      </w:r>
      <w:r w:rsidRPr="00AA55CD">
        <w:rPr>
          <w:sz w:val="24"/>
        </w:rPr>
        <w:t>v</w:t>
      </w:r>
      <w:r w:rsidRPr="00AA55CD">
        <w:rPr>
          <w:sz w:val="24"/>
        </w:rPr>
        <w:t>er, both still require table schemas that need to be predefined. Document storages explici</w:t>
      </w:r>
      <w:r w:rsidRPr="00AA55CD">
        <w:rPr>
          <w:sz w:val="24"/>
        </w:rPr>
        <w:t>t</w:t>
      </w:r>
      <w:r w:rsidRPr="00AA55CD">
        <w:rPr>
          <w:sz w:val="24"/>
        </w:rPr>
        <w:t>ly address the inflexibility of schemas by sto</w:t>
      </w:r>
      <w:r w:rsidRPr="00AA55CD">
        <w:rPr>
          <w:sz w:val="24"/>
        </w:rPr>
        <w:t>r</w:t>
      </w:r>
      <w:r w:rsidRPr="00AA55CD">
        <w:rPr>
          <w:sz w:val="24"/>
        </w:rPr>
        <w:t xml:space="preserve">ing data as </w:t>
      </w:r>
      <w:r w:rsidRPr="00AA55CD">
        <w:rPr>
          <w:i/>
          <w:sz w:val="24"/>
        </w:rPr>
        <w:t>documents,</w:t>
      </w:r>
      <w:r w:rsidRPr="00AA55CD">
        <w:rPr>
          <w:sz w:val="24"/>
        </w:rPr>
        <w:t xml:space="preserve"> where each document consists of arbitrary attribute-value pairs. However, for efficient querying the types of query has to be known in advance as to properly define the nesting structure of do</w:t>
      </w:r>
      <w:r w:rsidRPr="00AA55CD">
        <w:rPr>
          <w:sz w:val="24"/>
        </w:rPr>
        <w:t>c</w:t>
      </w:r>
      <w:r w:rsidRPr="00AA55CD">
        <w:rPr>
          <w:sz w:val="24"/>
        </w:rPr>
        <w:t xml:space="preserve">uments and their inter-links. In our case we </w:t>
      </w:r>
      <w:r w:rsidRPr="00AA55CD">
        <w:rPr>
          <w:sz w:val="24"/>
        </w:rPr>
        <w:lastRenderedPageBreak/>
        <w:t>do not know the range query need to detect ATPs. Graph database provide the ultimate flexibility in relational queries by storing ent</w:t>
      </w:r>
      <w:r w:rsidRPr="00AA55CD">
        <w:rPr>
          <w:sz w:val="24"/>
        </w:rPr>
        <w:t>i</w:t>
      </w:r>
      <w:r w:rsidRPr="00AA55CD">
        <w:rPr>
          <w:sz w:val="24"/>
        </w:rPr>
        <w:t>ties/objects as nodes in a graph and relatio</w:t>
      </w:r>
      <w:r w:rsidRPr="00AA55CD">
        <w:rPr>
          <w:sz w:val="24"/>
        </w:rPr>
        <w:t>n</w:t>
      </w:r>
      <w:r w:rsidRPr="00AA55CD">
        <w:rPr>
          <w:sz w:val="24"/>
        </w:rPr>
        <w:t>ships/attributes as bidirectional edges co</w:t>
      </w:r>
      <w:r w:rsidRPr="00AA55CD">
        <w:rPr>
          <w:sz w:val="24"/>
        </w:rPr>
        <w:t>n</w:t>
      </w:r>
      <w:r w:rsidRPr="00AA55CD">
        <w:rPr>
          <w:sz w:val="24"/>
        </w:rPr>
        <w:t>necting the nodes. The bidirectional nature of edges makes the need to predefine the nesting structure of documents unnecessary. Howe</w:t>
      </w:r>
      <w:r w:rsidRPr="00AA55CD">
        <w:rPr>
          <w:sz w:val="24"/>
        </w:rPr>
        <w:t>v</w:t>
      </w:r>
      <w:r w:rsidRPr="00AA55CD">
        <w:rPr>
          <w:sz w:val="24"/>
        </w:rPr>
        <w:t>er, scalability is a potential issue for graph d</w:t>
      </w:r>
      <w:r w:rsidRPr="00AA55CD">
        <w:rPr>
          <w:sz w:val="24"/>
        </w:rPr>
        <w:t>a</w:t>
      </w:r>
      <w:r w:rsidRPr="00AA55CD">
        <w:rPr>
          <w:sz w:val="24"/>
        </w:rPr>
        <w:t>tabases, since they centrally maintain adjace</w:t>
      </w:r>
      <w:r w:rsidRPr="00AA55CD">
        <w:rPr>
          <w:sz w:val="24"/>
        </w:rPr>
        <w:t>n</w:t>
      </w:r>
      <w:r w:rsidRPr="00AA55CD">
        <w:rPr>
          <w:sz w:val="24"/>
        </w:rPr>
        <w:t xml:space="preserve">cy lists for each node. Distributed computing techniques, like document database </w:t>
      </w:r>
      <w:proofErr w:type="spellStart"/>
      <w:r w:rsidRPr="00AA55CD">
        <w:rPr>
          <w:sz w:val="24"/>
        </w:rPr>
        <w:t>sharding</w:t>
      </w:r>
      <w:proofErr w:type="spellEnd"/>
      <w:r w:rsidRPr="00AA55CD">
        <w:rPr>
          <w:sz w:val="24"/>
        </w:rPr>
        <w:t>, are more difficult to apply. Moreover, in our case discovering of attackers the concept of entities/objects are more nebulous. The var</w:t>
      </w:r>
      <w:r w:rsidRPr="00AA55CD">
        <w:rPr>
          <w:sz w:val="24"/>
        </w:rPr>
        <w:t>i</w:t>
      </w:r>
      <w:r w:rsidRPr="00AA55CD">
        <w:rPr>
          <w:sz w:val="24"/>
        </w:rPr>
        <w:t>ous activities of an attacker are not initially attributable to that attacker, or they activities may be misattributed. To support reasoning on attacker/activity attribute graph-level o</w:t>
      </w:r>
      <w:r w:rsidRPr="00AA55CD">
        <w:rPr>
          <w:sz w:val="24"/>
        </w:rPr>
        <w:t>p</w:t>
      </w:r>
      <w:r w:rsidRPr="00AA55CD">
        <w:rPr>
          <w:sz w:val="24"/>
        </w:rPr>
        <w:t>eration support is needed.</w:t>
      </w:r>
    </w:p>
    <w:p w:rsidR="00D819C1" w:rsidRDefault="00D819C1" w:rsidP="00C4017A"/>
    <w:p w:rsidR="00D819C1" w:rsidRPr="00D14ECC" w:rsidRDefault="00D819C1" w:rsidP="0073236C">
      <w:pPr>
        <w:pStyle w:val="Heading2"/>
      </w:pPr>
      <w:r>
        <w:t xml:space="preserve">Implementation </w:t>
      </w:r>
    </w:p>
    <w:p w:rsidR="00D819C1" w:rsidRDefault="00D819C1" w:rsidP="00C4017A"/>
    <w:p w:rsidR="00D819C1" w:rsidRPr="00AA55CD" w:rsidRDefault="00D819C1" w:rsidP="00C4017A">
      <w:pPr>
        <w:rPr>
          <w:sz w:val="24"/>
        </w:rPr>
      </w:pPr>
      <w:r w:rsidRPr="00AA55CD">
        <w:rPr>
          <w:sz w:val="24"/>
        </w:rPr>
        <w:t>We decided to use a document storage backend for our implementation by favoring flexibility and scalability in storage over query capability. Document storage provides the flexibility to store arbitrary events without the need to predefine the data schema. The do</w:t>
      </w:r>
      <w:r w:rsidRPr="00AA55CD">
        <w:rPr>
          <w:sz w:val="24"/>
        </w:rPr>
        <w:t>c</w:t>
      </w:r>
      <w:r w:rsidRPr="00AA55CD">
        <w:rPr>
          <w:sz w:val="24"/>
        </w:rPr>
        <w:t xml:space="preserve">ument storage </w:t>
      </w:r>
      <w:proofErr w:type="spellStart"/>
      <w:r w:rsidRPr="00AA55CD">
        <w:rPr>
          <w:sz w:val="24"/>
        </w:rPr>
        <w:t>sharding</w:t>
      </w:r>
      <w:proofErr w:type="spellEnd"/>
      <w:r w:rsidRPr="00AA55CD">
        <w:rPr>
          <w:sz w:val="24"/>
        </w:rPr>
        <w:t xml:space="preserve"> enables us to capture and store all events even during high load. We plan to address query deficiencies in data post-processing step after the event as we be</w:t>
      </w:r>
      <w:r w:rsidRPr="00AA55CD">
        <w:rPr>
          <w:sz w:val="24"/>
        </w:rPr>
        <w:t>t</w:t>
      </w:r>
      <w:r w:rsidRPr="00AA55CD">
        <w:rPr>
          <w:sz w:val="24"/>
        </w:rPr>
        <w:t>ter understand the attacker operating modes and procedures.</w:t>
      </w:r>
    </w:p>
    <w:p w:rsidR="00D819C1" w:rsidRPr="00AA55CD" w:rsidRDefault="00D819C1" w:rsidP="00C4017A">
      <w:pPr>
        <w:rPr>
          <w:sz w:val="24"/>
        </w:rPr>
      </w:pPr>
    </w:p>
    <w:p w:rsidR="00D819C1" w:rsidRPr="00AA55CD" w:rsidRDefault="00D819C1" w:rsidP="00C4017A">
      <w:pPr>
        <w:rPr>
          <w:sz w:val="24"/>
        </w:rPr>
      </w:pPr>
      <w:r w:rsidRPr="00AA55CD">
        <w:rPr>
          <w:sz w:val="24"/>
        </w:rPr>
        <w:t>The specific document database we choose for our implementation is MongoDB. MongoDB is a widely-used open-source do</w:t>
      </w:r>
      <w:r w:rsidRPr="00AA55CD">
        <w:rPr>
          <w:sz w:val="24"/>
        </w:rPr>
        <w:t>c</w:t>
      </w:r>
      <w:r w:rsidRPr="00AA55CD">
        <w:rPr>
          <w:sz w:val="24"/>
        </w:rPr>
        <w:t xml:space="preserve">ument-database implementation that is easy to install and to use. It stores documents in JSON format, which is an industry standard. MongoDB is agnostic to the content of the JSON documents. We choose to use Fluentd to feed event data to MongoDB. Fluentd is specialized tool for event logging. It is capable </w:t>
      </w:r>
      <w:r w:rsidRPr="00AA55CD">
        <w:rPr>
          <w:sz w:val="24"/>
        </w:rPr>
        <w:lastRenderedPageBreak/>
        <w:t>of interfacing with a wide range of event lo</w:t>
      </w:r>
      <w:r w:rsidRPr="00AA55CD">
        <w:rPr>
          <w:sz w:val="24"/>
        </w:rPr>
        <w:t>g</w:t>
      </w:r>
      <w:r w:rsidRPr="00AA55CD">
        <w:rPr>
          <w:sz w:val="24"/>
        </w:rPr>
        <w:t>gers. In our case we connected NXLog and Sysmon event loggers to Fluentd.  All of the Windows virtual machines in this instantiation of CQRTE were instrumented with Sysmon and NXLog. Sysmon can be downloaded from the web</w:t>
      </w:r>
      <w:r w:rsidR="00624870">
        <w:rPr>
          <w:rStyle w:val="EndnoteReference"/>
          <w:sz w:val="24"/>
        </w:rPr>
        <w:endnoteReference w:id="15"/>
      </w:r>
      <w:r w:rsidRPr="00AA55CD">
        <w:rPr>
          <w:sz w:val="24"/>
        </w:rPr>
        <w:t xml:space="preserve"> does and excellent job of r</w:t>
      </w:r>
      <w:r w:rsidRPr="00AA55CD">
        <w:rPr>
          <w:sz w:val="24"/>
        </w:rPr>
        <w:t>e</w:t>
      </w:r>
      <w:r w:rsidRPr="00AA55CD">
        <w:rPr>
          <w:sz w:val="24"/>
        </w:rPr>
        <w:t>cording detailed Windows process events, i</w:t>
      </w:r>
      <w:r w:rsidRPr="00AA55CD">
        <w:rPr>
          <w:sz w:val="24"/>
        </w:rPr>
        <w:t>n</w:t>
      </w:r>
      <w:r w:rsidRPr="00AA55CD">
        <w:rPr>
          <w:sz w:val="24"/>
        </w:rPr>
        <w:t>cluding process creation, network connections and changes to file creation times. Each pr</w:t>
      </w:r>
      <w:r w:rsidRPr="00AA55CD">
        <w:rPr>
          <w:sz w:val="24"/>
        </w:rPr>
        <w:t>o</w:t>
      </w:r>
      <w:r w:rsidRPr="00AA55CD">
        <w:rPr>
          <w:sz w:val="24"/>
        </w:rPr>
        <w:t>cess is given a globally unique id (GUID) to allow identification and correlation of events when the operating system reuses process IDs. Each session is assigned a GUID as well to enable grouping of events from the same logon session. These Sysmon events are stored in the Windows Event Log.</w:t>
      </w:r>
    </w:p>
    <w:p w:rsidR="00D819C1" w:rsidRPr="00AA55CD" w:rsidRDefault="00D819C1" w:rsidP="00C4017A">
      <w:pPr>
        <w:rPr>
          <w:sz w:val="24"/>
        </w:rPr>
      </w:pPr>
    </w:p>
    <w:p w:rsidR="00D819C1" w:rsidRPr="00AA55CD" w:rsidRDefault="00D819C1" w:rsidP="00C4017A">
      <w:pPr>
        <w:rPr>
          <w:sz w:val="24"/>
        </w:rPr>
      </w:pPr>
      <w:r w:rsidRPr="00AA55CD">
        <w:rPr>
          <w:sz w:val="24"/>
        </w:rPr>
        <w:t>NXLog subscribes to all the events in the Windows Event Log and can also be dow</w:t>
      </w:r>
      <w:r w:rsidRPr="00AA55CD">
        <w:rPr>
          <w:sz w:val="24"/>
        </w:rPr>
        <w:t>n</w:t>
      </w:r>
      <w:r w:rsidRPr="00AA55CD">
        <w:rPr>
          <w:sz w:val="24"/>
        </w:rPr>
        <w:t>loaded from the web</w:t>
      </w:r>
      <w:r w:rsidR="00624870">
        <w:rPr>
          <w:rStyle w:val="EndnoteReference"/>
          <w:sz w:val="24"/>
        </w:rPr>
        <w:endnoteReference w:id="16"/>
      </w:r>
      <w:r w:rsidRPr="00AA55CD">
        <w:rPr>
          <w:sz w:val="24"/>
        </w:rPr>
        <w:t>.  It formats all of these events in the JavaScript Object Notation (JSON) format, which is an open standard, defined in both RFC 7159 and ECMA 404.   It then sends these events remotely to the Fluentd which also is an open source data co</w:t>
      </w:r>
      <w:r w:rsidRPr="00AA55CD">
        <w:rPr>
          <w:sz w:val="24"/>
        </w:rPr>
        <w:t>l</w:t>
      </w:r>
      <w:r w:rsidRPr="00AA55CD">
        <w:rPr>
          <w:sz w:val="24"/>
        </w:rPr>
        <w:t>lector, and can be downloaded from the Fluentd web site</w:t>
      </w:r>
      <w:r w:rsidR="00624870">
        <w:rPr>
          <w:rStyle w:val="EndnoteReference"/>
          <w:sz w:val="24"/>
        </w:rPr>
        <w:endnoteReference w:id="17"/>
      </w:r>
      <w:r w:rsidRPr="00AA55CD">
        <w:rPr>
          <w:sz w:val="24"/>
        </w:rPr>
        <w:t>). In our setup there is a si</w:t>
      </w:r>
      <w:r w:rsidRPr="00AA55CD">
        <w:rPr>
          <w:sz w:val="24"/>
        </w:rPr>
        <w:t>n</w:t>
      </w:r>
      <w:r w:rsidRPr="00AA55CD">
        <w:rPr>
          <w:sz w:val="24"/>
        </w:rPr>
        <w:t>gle Fluentd process collecting events from all Windows NXLog processes. Finally, Fluentd stores the JSON events in the persistent do</w:t>
      </w:r>
      <w:r w:rsidRPr="00AA55CD">
        <w:rPr>
          <w:sz w:val="24"/>
        </w:rPr>
        <w:t>c</w:t>
      </w:r>
      <w:r w:rsidRPr="00AA55CD">
        <w:rPr>
          <w:sz w:val="24"/>
        </w:rPr>
        <w:t>ument store MongoDB.  This software can be downloaded from the MongoDB web site</w:t>
      </w:r>
      <w:r w:rsidR="00624870">
        <w:rPr>
          <w:rStyle w:val="EndnoteReference"/>
          <w:sz w:val="24"/>
        </w:rPr>
        <w:endnoteReference w:id="18"/>
      </w:r>
      <w:r w:rsidRPr="00AA55CD">
        <w:rPr>
          <w:sz w:val="24"/>
        </w:rPr>
        <w:t>.</w:t>
      </w:r>
    </w:p>
    <w:p w:rsidR="00D819C1" w:rsidRPr="00AA55CD" w:rsidRDefault="00D819C1" w:rsidP="00C4017A">
      <w:pPr>
        <w:rPr>
          <w:sz w:val="24"/>
        </w:rPr>
      </w:pPr>
    </w:p>
    <w:p w:rsidR="00D819C1" w:rsidRDefault="00D819C1" w:rsidP="0073236C">
      <w:pPr>
        <w:pStyle w:val="Heading2"/>
      </w:pPr>
      <w:r>
        <w:t>A Test Exercise to Validate Choices</w:t>
      </w:r>
    </w:p>
    <w:p w:rsidR="00D819C1" w:rsidRDefault="00D819C1" w:rsidP="00C4017A"/>
    <w:p w:rsidR="00D819C1" w:rsidRPr="007F5710" w:rsidRDefault="00D819C1" w:rsidP="00C4017A">
      <w:pPr>
        <w:rPr>
          <w:sz w:val="24"/>
        </w:rPr>
      </w:pPr>
      <w:r>
        <w:t>T</w:t>
      </w:r>
      <w:r w:rsidRPr="007F5710">
        <w:rPr>
          <w:sz w:val="24"/>
        </w:rPr>
        <w:t>he authors organized and managed a test of the system, including the data management sub-system in early February 2015.  The test was called Cyber Challenge 2015 and was hosted by the 261st Network Warfare Squa</w:t>
      </w:r>
      <w:r w:rsidRPr="007F5710">
        <w:rPr>
          <w:sz w:val="24"/>
        </w:rPr>
        <w:t>d</w:t>
      </w:r>
      <w:r w:rsidRPr="007F5710">
        <w:rPr>
          <w:sz w:val="24"/>
        </w:rPr>
        <w:t>ron (NWS) in Van Nuys California.  Over 50 personnel participated and they were org</w:t>
      </w:r>
      <w:r w:rsidRPr="007F5710">
        <w:rPr>
          <w:sz w:val="24"/>
        </w:rPr>
        <w:t>a</w:t>
      </w:r>
      <w:r w:rsidRPr="007F5710">
        <w:rPr>
          <w:sz w:val="24"/>
        </w:rPr>
        <w:t xml:space="preserve">nized into five teams. The events modeled </w:t>
      </w:r>
      <w:r w:rsidRPr="007F5710">
        <w:rPr>
          <w:sz w:val="24"/>
        </w:rPr>
        <w:lastRenderedPageBreak/>
        <w:t>were drafted as a potentially harmful situation that would endanger national security.  The personnel were a team crew commander, who was an officer, and a battle commander.  The rest of the participants were enlisted perso</w:t>
      </w:r>
      <w:r w:rsidRPr="007F5710">
        <w:rPr>
          <w:sz w:val="24"/>
        </w:rPr>
        <w:t>n</w:t>
      </w:r>
      <w:r w:rsidRPr="007F5710">
        <w:rPr>
          <w:sz w:val="24"/>
        </w:rPr>
        <w:t xml:space="preserve">nel from reserve units.  </w:t>
      </w:r>
    </w:p>
    <w:p w:rsidR="00D819C1" w:rsidRPr="007F5710" w:rsidRDefault="00D819C1" w:rsidP="00C4017A">
      <w:pPr>
        <w:rPr>
          <w:sz w:val="24"/>
        </w:rPr>
      </w:pPr>
    </w:p>
    <w:p w:rsidR="00D819C1" w:rsidRPr="007F5710" w:rsidRDefault="00D819C1" w:rsidP="00C4017A">
      <w:pPr>
        <w:rPr>
          <w:sz w:val="24"/>
        </w:rPr>
      </w:pPr>
      <w:r w:rsidRPr="007F5710">
        <w:rPr>
          <w:sz w:val="24"/>
        </w:rPr>
        <w:t>The exercise ran well and was considered a great training success.  Vast amounts of data were efficiently collected, stored temporarily, then archived in a way that made their retrie</w:t>
      </w:r>
      <w:r w:rsidRPr="007F5710">
        <w:rPr>
          <w:sz w:val="24"/>
        </w:rPr>
        <w:t>v</w:t>
      </w:r>
      <w:r w:rsidRPr="007F5710">
        <w:rPr>
          <w:sz w:val="24"/>
        </w:rPr>
        <w:t>al easy and intuitive</w:t>
      </w:r>
      <w:proofErr w:type="gramStart"/>
      <w:r w:rsidRPr="007F5710">
        <w:rPr>
          <w:sz w:val="24"/>
        </w:rPr>
        <w:t>..</w:t>
      </w:r>
      <w:proofErr w:type="gramEnd"/>
      <w:r w:rsidRPr="007F5710">
        <w:rPr>
          <w:sz w:val="24"/>
        </w:rPr>
        <w:t xml:space="preserve"> These data will actually be accessed by the reservists in the future to further analyze the exercise</w:t>
      </w:r>
      <w:proofErr w:type="gramStart"/>
      <w:r w:rsidRPr="007F5710">
        <w:rPr>
          <w:sz w:val="24"/>
        </w:rPr>
        <w:t>..</w:t>
      </w:r>
      <w:proofErr w:type="gramEnd"/>
      <w:r w:rsidRPr="007F5710">
        <w:rPr>
          <w:sz w:val="24"/>
        </w:rPr>
        <w:t xml:space="preserve"> All the data management mentioned above will be needed in the future.  This need is predicated on the finding that, in a two-day small unit exercise, Cyber Challenger 2015 generated 1.6 terabytes of data, all of which was logged, identified and archived.</w:t>
      </w:r>
    </w:p>
    <w:p w:rsidR="00D819C1" w:rsidRPr="007F5710" w:rsidRDefault="00D819C1" w:rsidP="00C4017A">
      <w:pPr>
        <w:rPr>
          <w:sz w:val="24"/>
        </w:rPr>
      </w:pPr>
    </w:p>
    <w:p w:rsidR="00D819C1" w:rsidRPr="008B5005" w:rsidRDefault="00D819C1" w:rsidP="0073236C">
      <w:pPr>
        <w:pStyle w:val="Heading2"/>
      </w:pPr>
      <w:r w:rsidRPr="008B5005">
        <w:t xml:space="preserve">Evaluation </w:t>
      </w:r>
    </w:p>
    <w:p w:rsidR="00D819C1" w:rsidRPr="007F5710" w:rsidRDefault="00D819C1" w:rsidP="00C4017A">
      <w:pPr>
        <w:rPr>
          <w:sz w:val="24"/>
        </w:rPr>
      </w:pPr>
    </w:p>
    <w:p w:rsidR="00D819C1" w:rsidRPr="007F5710" w:rsidRDefault="00D819C1" w:rsidP="00C4017A">
      <w:pPr>
        <w:rPr>
          <w:sz w:val="24"/>
        </w:rPr>
      </w:pPr>
      <w:r w:rsidRPr="007F5710">
        <w:rPr>
          <w:sz w:val="24"/>
        </w:rPr>
        <w:t xml:space="preserve">At the time of the submission of this paper, the evaluative process was still on-going.  It is hoped that more progress will be reported at the presentation session late this </w:t>
      </w:r>
      <w:proofErr w:type="gramStart"/>
      <w:r w:rsidRPr="007F5710">
        <w:rPr>
          <w:sz w:val="24"/>
        </w:rPr>
        <w:t>Fall</w:t>
      </w:r>
      <w:proofErr w:type="gramEnd"/>
      <w:r w:rsidRPr="007F5710">
        <w:rPr>
          <w:sz w:val="24"/>
        </w:rPr>
        <w:t xml:space="preserve"> in O</w:t>
      </w:r>
      <w:r w:rsidRPr="007F5710">
        <w:rPr>
          <w:sz w:val="24"/>
        </w:rPr>
        <w:t>r</w:t>
      </w:r>
      <w:r w:rsidRPr="007F5710">
        <w:rPr>
          <w:sz w:val="24"/>
        </w:rPr>
        <w:t>lando. There are several thrusts to the Evalu</w:t>
      </w:r>
      <w:r w:rsidRPr="007F5710">
        <w:rPr>
          <w:sz w:val="24"/>
        </w:rPr>
        <w:t>a</w:t>
      </w:r>
      <w:r w:rsidRPr="007F5710">
        <w:rPr>
          <w:sz w:val="24"/>
        </w:rPr>
        <w:t>tion. The first is ascertaining if the data was collected locally without interfering with the simulation and concomitant training.  The second is reviewing user needs and satisfa</w:t>
      </w:r>
      <w:r w:rsidRPr="007F5710">
        <w:rPr>
          <w:sz w:val="24"/>
        </w:rPr>
        <w:t>c</w:t>
      </w:r>
      <w:r w:rsidRPr="007F5710">
        <w:rPr>
          <w:sz w:val="24"/>
        </w:rPr>
        <w:t>tion with the system.  Initial reactions from operators and officers alike were much more enthusiastic than was hoped and more formal assessments are planned for the future.  Thirdly, there will be an effort to capture le</w:t>
      </w:r>
      <w:r w:rsidRPr="007F5710">
        <w:rPr>
          <w:sz w:val="24"/>
        </w:rPr>
        <w:t>s</w:t>
      </w:r>
      <w:r w:rsidRPr="007F5710">
        <w:rPr>
          <w:sz w:val="24"/>
        </w:rPr>
        <w:t>sons learned from operators and officers, with an eye toward improving or enhancing the system. Fourth, the scalability of the system will be investigated, considering both region-wide exercises and enabling single-player e</w:t>
      </w:r>
      <w:r w:rsidRPr="007F5710">
        <w:rPr>
          <w:sz w:val="24"/>
        </w:rPr>
        <w:t>x</w:t>
      </w:r>
      <w:r w:rsidRPr="007F5710">
        <w:rPr>
          <w:sz w:val="24"/>
        </w:rPr>
        <w:t>ercises and training.  Among the last articula</w:t>
      </w:r>
      <w:r w:rsidRPr="007F5710">
        <w:rPr>
          <w:sz w:val="24"/>
        </w:rPr>
        <w:t>t</w:t>
      </w:r>
      <w:r w:rsidRPr="007F5710">
        <w:rPr>
          <w:sz w:val="24"/>
        </w:rPr>
        <w:t>ed examinations will be collecting and analy</w:t>
      </w:r>
      <w:r w:rsidRPr="007F5710">
        <w:rPr>
          <w:sz w:val="24"/>
        </w:rPr>
        <w:t>z</w:t>
      </w:r>
      <w:r w:rsidRPr="007F5710">
        <w:rPr>
          <w:sz w:val="24"/>
        </w:rPr>
        <w:t xml:space="preserve">ing data on the ease with which the system </w:t>
      </w:r>
      <w:r w:rsidRPr="007F5710">
        <w:rPr>
          <w:sz w:val="24"/>
        </w:rPr>
        <w:lastRenderedPageBreak/>
        <w:t>was installed, managed and modified by the technical personnel.  Finally, a tiger-team a</w:t>
      </w:r>
      <w:r w:rsidRPr="007F5710">
        <w:rPr>
          <w:sz w:val="24"/>
        </w:rPr>
        <w:t>p</w:t>
      </w:r>
      <w:r w:rsidRPr="007F5710">
        <w:rPr>
          <w:sz w:val="24"/>
        </w:rPr>
        <w:t>proach will be established to seek out and identify any areas of potential improvement that have been over-looked.</w:t>
      </w:r>
    </w:p>
    <w:p w:rsidR="00D819C1" w:rsidRDefault="00D819C1" w:rsidP="00C4017A"/>
    <w:p w:rsidR="00D819C1" w:rsidRPr="00D14ECC" w:rsidRDefault="00D819C1" w:rsidP="0073236C">
      <w:pPr>
        <w:pStyle w:val="Heading2"/>
      </w:pPr>
      <w:r>
        <w:t xml:space="preserve">Suggestions for </w:t>
      </w:r>
      <w:r w:rsidR="008B5005">
        <w:br/>
      </w:r>
      <w:r>
        <w:t>Using this Approach</w:t>
      </w:r>
    </w:p>
    <w:p w:rsidR="00D819C1" w:rsidRDefault="00D819C1" w:rsidP="00C4017A"/>
    <w:p w:rsidR="00D819C1" w:rsidRPr="007F5710" w:rsidRDefault="00D819C1" w:rsidP="00C4017A">
      <w:pPr>
        <w:rPr>
          <w:sz w:val="24"/>
        </w:rPr>
      </w:pPr>
      <w:r w:rsidRPr="007F5710">
        <w:rPr>
          <w:sz w:val="24"/>
        </w:rPr>
        <w:t>Some of the more important lessons learned over the last decade and a half have distilled and presented above. The development of useful programs and their wide accessibility has at the same time provided easy access to the power of computation and induced rel</w:t>
      </w:r>
      <w:r w:rsidRPr="007F5710">
        <w:rPr>
          <w:sz w:val="24"/>
        </w:rPr>
        <w:t>i</w:t>
      </w:r>
      <w:r w:rsidRPr="007F5710">
        <w:rPr>
          <w:sz w:val="24"/>
        </w:rPr>
        <w:t>ance on pre-coded system approaches.  The authors have shown that using well-vetted techniques can produce more optimal system that pass the test of cost/benefit analyses.  Further, the use of open-source software r</w:t>
      </w:r>
      <w:r w:rsidRPr="007F5710">
        <w:rPr>
          <w:sz w:val="24"/>
        </w:rPr>
        <w:t>e</w:t>
      </w:r>
      <w:r w:rsidRPr="007F5710">
        <w:rPr>
          <w:sz w:val="24"/>
        </w:rPr>
        <w:t>duces the total cost of the system, making it affordable by even small units with virtually no discretionary budget. The open source community also provides a good exemplar of using enthusiastic volunteers to do significant portions of the coding.  Some of the scenario mock-ups and analytical modules for Cyber Challenge were conceived, designed and pr</w:t>
      </w:r>
      <w:r w:rsidRPr="007F5710">
        <w:rPr>
          <w:sz w:val="24"/>
        </w:rPr>
        <w:t>o</w:t>
      </w:r>
      <w:r w:rsidRPr="007F5710">
        <w:rPr>
          <w:sz w:val="24"/>
        </w:rPr>
        <w:t xml:space="preserve">duced by reserve personnel on their own time.  </w:t>
      </w:r>
    </w:p>
    <w:p w:rsidR="00D819C1" w:rsidRPr="007F5710" w:rsidRDefault="00D819C1" w:rsidP="00C4017A">
      <w:pPr>
        <w:rPr>
          <w:sz w:val="24"/>
        </w:rPr>
      </w:pPr>
    </w:p>
    <w:p w:rsidR="00D819C1" w:rsidRPr="007F5710" w:rsidRDefault="00D819C1" w:rsidP="00C4017A">
      <w:pPr>
        <w:rPr>
          <w:sz w:val="24"/>
        </w:rPr>
      </w:pPr>
      <w:r w:rsidRPr="007F5710">
        <w:rPr>
          <w:sz w:val="24"/>
        </w:rPr>
        <w:t>One issue is of course security.  There is an on-going and vociferous debate about the re</w:t>
      </w:r>
      <w:r w:rsidRPr="007F5710">
        <w:rPr>
          <w:sz w:val="24"/>
        </w:rPr>
        <w:t>l</w:t>
      </w:r>
      <w:r w:rsidRPr="007F5710">
        <w:rPr>
          <w:sz w:val="24"/>
        </w:rPr>
        <w:t>ative strengths of security between proprietary and open-source programs.  Alan Boulanger of IBM takes the position that there are codes on both sides that are more secure than the other side of the Proprietary/Open Source divide.</w:t>
      </w:r>
      <w:r w:rsidR="00624870">
        <w:rPr>
          <w:rStyle w:val="EndnoteReference"/>
          <w:sz w:val="24"/>
        </w:rPr>
        <w:endnoteReference w:id="19"/>
      </w:r>
      <w:r w:rsidRPr="007F5710">
        <w:rPr>
          <w:sz w:val="24"/>
        </w:rPr>
        <w:t xml:space="preserve"> His position seems to be that one must do a de novo analysis of the security of any code irrespective of its origin.  He su</w:t>
      </w:r>
      <w:r w:rsidRPr="007F5710">
        <w:rPr>
          <w:sz w:val="24"/>
        </w:rPr>
        <w:t>p</w:t>
      </w:r>
      <w:r w:rsidRPr="007F5710">
        <w:rPr>
          <w:sz w:val="24"/>
        </w:rPr>
        <w:t>ports the idea that the two competing areas are about evenly matched in security.  Further security can be insured by “air gap” isolation or by authorized encryption for connectivity to remote sites.</w:t>
      </w:r>
    </w:p>
    <w:p w:rsidR="00D819C1" w:rsidRDefault="00D819C1" w:rsidP="00C4017A"/>
    <w:p w:rsidR="00D819C1" w:rsidRPr="00D14ECC" w:rsidRDefault="00D819C1" w:rsidP="0073236C">
      <w:pPr>
        <w:pStyle w:val="Heading2"/>
      </w:pPr>
      <w:r>
        <w:lastRenderedPageBreak/>
        <w:t xml:space="preserve">Other Potential Areas </w:t>
      </w:r>
      <w:r w:rsidR="008B5005">
        <w:br/>
      </w:r>
      <w:r>
        <w:t xml:space="preserve">for Instantiation </w:t>
      </w:r>
    </w:p>
    <w:p w:rsidR="00D819C1" w:rsidRDefault="00D819C1" w:rsidP="00C4017A"/>
    <w:p w:rsidR="00D819C1" w:rsidRPr="007F5710" w:rsidRDefault="00D819C1" w:rsidP="00C4017A">
      <w:pPr>
        <w:rPr>
          <w:sz w:val="24"/>
        </w:rPr>
      </w:pPr>
      <w:r w:rsidRPr="007F5710">
        <w:rPr>
          <w:sz w:val="24"/>
        </w:rPr>
        <w:t>The authors enthusiasm for this technique may color their seeing other opportunities for the use of these approaches in other area, but it does seem that virtually any small unit with a mission that entails the use of data, the r</w:t>
      </w:r>
      <w:r w:rsidRPr="007F5710">
        <w:rPr>
          <w:sz w:val="24"/>
        </w:rPr>
        <w:t>e</w:t>
      </w:r>
      <w:r w:rsidRPr="007F5710">
        <w:rPr>
          <w:sz w:val="24"/>
        </w:rPr>
        <w:t>sponse to outside impacts, and the need to provide an environment for training and rea</w:t>
      </w:r>
      <w:r w:rsidRPr="007F5710">
        <w:rPr>
          <w:sz w:val="24"/>
        </w:rPr>
        <w:t>d</w:t>
      </w:r>
      <w:r w:rsidRPr="007F5710">
        <w:rPr>
          <w:sz w:val="24"/>
        </w:rPr>
        <w:t>iness assessment would be well advised to consider these approaches.  Intelligence units, cryptologic personnel, planners, combat units, communications support organizations and many others could easily adapt this paper’s suggestions to their own needs and capabil</w:t>
      </w:r>
      <w:r w:rsidRPr="007F5710">
        <w:rPr>
          <w:sz w:val="24"/>
        </w:rPr>
        <w:t>i</w:t>
      </w:r>
      <w:r w:rsidRPr="007F5710">
        <w:rPr>
          <w:sz w:val="24"/>
        </w:rPr>
        <w:t>ties.  The availability of computer-savvy tec</w:t>
      </w:r>
      <w:r w:rsidRPr="007F5710">
        <w:rPr>
          <w:sz w:val="24"/>
        </w:rPr>
        <w:t>h</w:t>
      </w:r>
      <w:r w:rsidRPr="007F5710">
        <w:rPr>
          <w:sz w:val="24"/>
        </w:rPr>
        <w:t>nical help is becoming so widespread that it would be hard to imagine a unit without si</w:t>
      </w:r>
      <w:r w:rsidRPr="007F5710">
        <w:rPr>
          <w:sz w:val="24"/>
        </w:rPr>
        <w:t>g</w:t>
      </w:r>
      <w:r w:rsidRPr="007F5710">
        <w:rPr>
          <w:sz w:val="24"/>
        </w:rPr>
        <w:t xml:space="preserve">nificant computer science capabilities in their current staff.  Should such integral assets be thinner than desired, other neighboring units would undoubtedly have the available </w:t>
      </w:r>
      <w:proofErr w:type="gramStart"/>
      <w:r w:rsidRPr="007F5710">
        <w:rPr>
          <w:sz w:val="24"/>
        </w:rPr>
        <w:t>expe</w:t>
      </w:r>
      <w:r w:rsidRPr="007F5710">
        <w:rPr>
          <w:sz w:val="24"/>
        </w:rPr>
        <w:t>r</w:t>
      </w:r>
      <w:r w:rsidRPr="007F5710">
        <w:rPr>
          <w:sz w:val="24"/>
        </w:rPr>
        <w:t>tise.</w:t>
      </w:r>
      <w:proofErr w:type="gramEnd"/>
      <w:r w:rsidRPr="007F5710">
        <w:rPr>
          <w:sz w:val="24"/>
        </w:rPr>
        <w:t xml:space="preserve">  It is the opinion of some of the authors that real activities like implementing a new training system produce excellent leadership and team training opportunities </w:t>
      </w:r>
    </w:p>
    <w:p w:rsidR="00D819C1" w:rsidRPr="007F5710" w:rsidRDefault="00D819C1" w:rsidP="00C4017A">
      <w:pPr>
        <w:rPr>
          <w:sz w:val="24"/>
        </w:rPr>
      </w:pPr>
    </w:p>
    <w:p w:rsidR="00D819C1" w:rsidRPr="007F5710" w:rsidRDefault="00D819C1" w:rsidP="008B5005">
      <w:pPr>
        <w:rPr>
          <w:sz w:val="24"/>
        </w:rPr>
      </w:pPr>
      <w:r w:rsidRPr="007F5710">
        <w:rPr>
          <w:sz w:val="24"/>
        </w:rPr>
        <w:t>Outside of the military context, these a</w:t>
      </w:r>
      <w:r w:rsidRPr="007F5710">
        <w:rPr>
          <w:sz w:val="24"/>
        </w:rPr>
        <w:t>p</w:t>
      </w:r>
      <w:r w:rsidRPr="007F5710">
        <w:rPr>
          <w:sz w:val="24"/>
        </w:rPr>
        <w:t>proaches could be applied to any computation and communication laden efforts in any field.  Emergency preparedness, public safety, med</w:t>
      </w:r>
      <w:r w:rsidRPr="007F5710">
        <w:rPr>
          <w:sz w:val="24"/>
        </w:rPr>
        <w:t>i</w:t>
      </w:r>
      <w:r w:rsidRPr="007F5710">
        <w:rPr>
          <w:sz w:val="24"/>
        </w:rPr>
        <w:t>cal responses, and event planning would all fall under the aegis of the above described system.</w:t>
      </w:r>
    </w:p>
    <w:p w:rsidR="00D819C1" w:rsidRDefault="00D819C1" w:rsidP="008B5005">
      <w:pPr>
        <w:pStyle w:val="Heading1"/>
        <w:spacing w:before="240"/>
      </w:pPr>
      <w:r>
        <w:t>Conclusions</w:t>
      </w:r>
    </w:p>
    <w:p w:rsidR="00D819C1" w:rsidRDefault="00D819C1" w:rsidP="00C4017A"/>
    <w:p w:rsidR="00D819C1" w:rsidRDefault="00D819C1" w:rsidP="00C4017A">
      <w:r w:rsidRPr="007F5710">
        <w:rPr>
          <w:sz w:val="24"/>
        </w:rPr>
        <w:t>Cybersecurity is vital and ensuring it is daun</w:t>
      </w:r>
      <w:r w:rsidRPr="007F5710">
        <w:rPr>
          <w:sz w:val="24"/>
        </w:rPr>
        <w:t>t</w:t>
      </w:r>
      <w:r w:rsidRPr="007F5710">
        <w:rPr>
          <w:sz w:val="24"/>
        </w:rPr>
        <w:t>ing. Testing of Cybersecurity systems can be costly, risky for security and disruptive, esp</w:t>
      </w:r>
      <w:r w:rsidRPr="007F5710">
        <w:rPr>
          <w:sz w:val="24"/>
        </w:rPr>
        <w:t>e</w:t>
      </w:r>
      <w:r w:rsidRPr="007F5710">
        <w:rPr>
          <w:sz w:val="24"/>
        </w:rPr>
        <w:t xml:space="preserve">cially in very large exercises.  There was a dearth of technology available for small test environment Cybersecurity exercises.  Using the expertise developed on other large-scale distributed computing projects, the team met </w:t>
      </w:r>
      <w:r w:rsidRPr="007F5710">
        <w:rPr>
          <w:sz w:val="24"/>
        </w:rPr>
        <w:lastRenderedPageBreak/>
        <w:t>the need of small units by producing a very effective training scenario simulator. That sy</w:t>
      </w:r>
      <w:r w:rsidRPr="007F5710">
        <w:rPr>
          <w:sz w:val="24"/>
        </w:rPr>
        <w:t>s</w:t>
      </w:r>
      <w:r w:rsidRPr="007F5710">
        <w:rPr>
          <w:sz w:val="24"/>
        </w:rPr>
        <w:t>tem and approach can now be used to provide the Test and Evaluation community with a scalable small test environment capability.  It can use locally available computing power, low- or no-cost software and careful planning to meet the needs of the T&amp;E personnel. D</w:t>
      </w:r>
      <w:r w:rsidRPr="007F5710">
        <w:rPr>
          <w:sz w:val="24"/>
        </w:rPr>
        <w:t>a</w:t>
      </w:r>
      <w:r w:rsidRPr="007F5710">
        <w:rPr>
          <w:sz w:val="24"/>
        </w:rPr>
        <w:t>ta management will be of paramount i</w:t>
      </w:r>
      <w:r w:rsidRPr="007F5710">
        <w:rPr>
          <w:sz w:val="24"/>
        </w:rPr>
        <w:t>m</w:t>
      </w:r>
      <w:r w:rsidRPr="007F5710">
        <w:rPr>
          <w:sz w:val="24"/>
        </w:rPr>
        <w:t>portance, but the approach used for the trai</w:t>
      </w:r>
      <w:r w:rsidRPr="007F5710">
        <w:rPr>
          <w:sz w:val="24"/>
        </w:rPr>
        <w:t>n</w:t>
      </w:r>
      <w:r w:rsidRPr="007F5710">
        <w:rPr>
          <w:sz w:val="24"/>
        </w:rPr>
        <w:t>ing system has established a reliable and well marked path.  The small unit exercise collec</w:t>
      </w:r>
      <w:r w:rsidRPr="007F5710">
        <w:rPr>
          <w:sz w:val="24"/>
        </w:rPr>
        <w:t>t</w:t>
      </w:r>
      <w:r w:rsidRPr="007F5710">
        <w:rPr>
          <w:sz w:val="24"/>
        </w:rPr>
        <w:t>ed around one terabyte of information daily during the conduct of the training; similar volumes are expected during test.  The team has designed scalable data management sy</w:t>
      </w:r>
      <w:r w:rsidRPr="007F5710">
        <w:rPr>
          <w:sz w:val="24"/>
        </w:rPr>
        <w:t>s</w:t>
      </w:r>
      <w:r w:rsidRPr="007F5710">
        <w:rPr>
          <w:sz w:val="24"/>
        </w:rPr>
        <w:t>tems in the past to handle orders of magn</w:t>
      </w:r>
      <w:r w:rsidRPr="007F5710">
        <w:rPr>
          <w:sz w:val="24"/>
        </w:rPr>
        <w:t>i</w:t>
      </w:r>
      <w:r w:rsidRPr="007F5710">
        <w:rPr>
          <w:sz w:val="24"/>
        </w:rPr>
        <w:t>tude more data flow than this, so even large tests should pose no problems.  This info</w:t>
      </w:r>
      <w:r w:rsidRPr="007F5710">
        <w:rPr>
          <w:sz w:val="24"/>
        </w:rPr>
        <w:t>r</w:t>
      </w:r>
      <w:r w:rsidRPr="007F5710">
        <w:rPr>
          <w:sz w:val="24"/>
        </w:rPr>
        <w:t>mation can be collected, characterized, a</w:t>
      </w:r>
      <w:r w:rsidRPr="007F5710">
        <w:rPr>
          <w:sz w:val="24"/>
        </w:rPr>
        <w:t>r</w:t>
      </w:r>
      <w:r w:rsidRPr="007F5710">
        <w:rPr>
          <w:sz w:val="24"/>
        </w:rPr>
        <w:t>chived, and made available for retrieval and further analysis.  All of this can and was a</w:t>
      </w:r>
      <w:r w:rsidRPr="007F5710">
        <w:rPr>
          <w:sz w:val="24"/>
        </w:rPr>
        <w:t>c</w:t>
      </w:r>
      <w:r w:rsidRPr="007F5710">
        <w:rPr>
          <w:sz w:val="24"/>
        </w:rPr>
        <w:t xml:space="preserve">complished within small-budget constraints.  The techniques employed are almost certain to </w:t>
      </w:r>
      <w:proofErr w:type="gramStart"/>
      <w:r w:rsidRPr="007F5710">
        <w:rPr>
          <w:sz w:val="24"/>
        </w:rPr>
        <w:t>be  expandable</w:t>
      </w:r>
      <w:proofErr w:type="gramEnd"/>
      <w:r w:rsidRPr="007F5710">
        <w:rPr>
          <w:sz w:val="24"/>
        </w:rPr>
        <w:t xml:space="preserve"> to large-scale tests and e</w:t>
      </w:r>
      <w:r w:rsidRPr="007F5710">
        <w:rPr>
          <w:sz w:val="24"/>
        </w:rPr>
        <w:t>x</w:t>
      </w:r>
      <w:r w:rsidRPr="007F5710">
        <w:rPr>
          <w:sz w:val="24"/>
        </w:rPr>
        <w:t xml:space="preserve">tensible into other disciplines.   </w:t>
      </w:r>
    </w:p>
    <w:p w:rsidR="00D819C1" w:rsidRDefault="00D819C1" w:rsidP="00C4017A"/>
    <w:p w:rsidR="00D819C1" w:rsidRDefault="00D819C1" w:rsidP="00563006">
      <w:pPr>
        <w:pStyle w:val="Heading1"/>
        <w:spacing w:before="240"/>
      </w:pPr>
      <w:r>
        <w:t>ACKNOWLEDGEMENTS</w:t>
      </w:r>
    </w:p>
    <w:p w:rsidR="00D819C1" w:rsidRPr="004947D2" w:rsidRDefault="00D819C1" w:rsidP="008B5005">
      <w:pPr>
        <w:keepNext/>
        <w:keepLines/>
      </w:pPr>
    </w:p>
    <w:p w:rsidR="00D819C1" w:rsidRPr="007F5710" w:rsidRDefault="00D819C1" w:rsidP="00C4017A">
      <w:pPr>
        <w:rPr>
          <w:sz w:val="24"/>
        </w:rPr>
      </w:pPr>
      <w:r w:rsidRPr="007F5710">
        <w:rPr>
          <w:sz w:val="24"/>
        </w:rPr>
        <w:t xml:space="preserve">The authors are grateful for the support from Lt. Brian R. Castello and LtCol. </w:t>
      </w:r>
      <w:proofErr w:type="gramStart"/>
      <w:r w:rsidRPr="007F5710">
        <w:rPr>
          <w:sz w:val="24"/>
        </w:rPr>
        <w:t>Douglas W. Hire of the Cyber Communications Squadron of the California Air National Guard.</w:t>
      </w:r>
      <w:proofErr w:type="gramEnd"/>
      <w:r w:rsidRPr="007F5710">
        <w:rPr>
          <w:sz w:val="24"/>
        </w:rPr>
        <w:t xml:space="preserve">  They also would acknowledge the contributions of Mr. Richard Pace, Ms. T. Katy Bragg, and Dr. </w:t>
      </w:r>
      <w:proofErr w:type="spellStart"/>
      <w:r w:rsidRPr="007F5710">
        <w:rPr>
          <w:sz w:val="24"/>
        </w:rPr>
        <w:t>Jelena</w:t>
      </w:r>
      <w:proofErr w:type="spellEnd"/>
      <w:r w:rsidRPr="007F5710">
        <w:rPr>
          <w:sz w:val="24"/>
        </w:rPr>
        <w:t xml:space="preserve"> </w:t>
      </w:r>
      <w:proofErr w:type="spellStart"/>
      <w:r w:rsidRPr="007F5710">
        <w:rPr>
          <w:sz w:val="24"/>
        </w:rPr>
        <w:t>Mirkovic</w:t>
      </w:r>
      <w:proofErr w:type="spellEnd"/>
      <w:r w:rsidRPr="007F5710">
        <w:rPr>
          <w:sz w:val="24"/>
        </w:rPr>
        <w:t xml:space="preserve">.  They are particularly grateful to SSgt Daniel Cabrera for an excellent job done on the airport runway model, Lt </w:t>
      </w:r>
      <w:proofErr w:type="spellStart"/>
      <w:r w:rsidRPr="007F5710">
        <w:rPr>
          <w:sz w:val="24"/>
        </w:rPr>
        <w:t>Selga</w:t>
      </w:r>
      <w:proofErr w:type="spellEnd"/>
      <w:r w:rsidRPr="007F5710">
        <w:rPr>
          <w:sz w:val="24"/>
        </w:rPr>
        <w:t xml:space="preserve"> for leading the Red Team, Major Michael “Krusty” Ehrstein for overseeing the Red force.  </w:t>
      </w:r>
      <w:proofErr w:type="spellStart"/>
      <w:r w:rsidRPr="007F5710">
        <w:rPr>
          <w:sz w:val="24"/>
        </w:rPr>
        <w:t>Maj</w:t>
      </w:r>
      <w:proofErr w:type="spellEnd"/>
      <w:r w:rsidRPr="007F5710">
        <w:rPr>
          <w:sz w:val="24"/>
        </w:rPr>
        <w:t xml:space="preserve"> Jon Dahl for headed up the exe</w:t>
      </w:r>
      <w:r w:rsidRPr="007F5710">
        <w:rPr>
          <w:sz w:val="24"/>
        </w:rPr>
        <w:t>r</w:t>
      </w:r>
      <w:r w:rsidRPr="007F5710">
        <w:rPr>
          <w:sz w:val="24"/>
        </w:rPr>
        <w:t xml:space="preserve">cise logistics.  The Blue Team leads were Capt </w:t>
      </w:r>
      <w:proofErr w:type="spellStart"/>
      <w:r w:rsidRPr="007F5710">
        <w:rPr>
          <w:sz w:val="24"/>
        </w:rPr>
        <w:t>Ammie</w:t>
      </w:r>
      <w:proofErr w:type="spellEnd"/>
      <w:r w:rsidRPr="007F5710">
        <w:rPr>
          <w:sz w:val="24"/>
        </w:rPr>
        <w:t xml:space="preserve"> Presley and </w:t>
      </w:r>
      <w:proofErr w:type="spellStart"/>
      <w:r w:rsidRPr="007F5710">
        <w:rPr>
          <w:sz w:val="24"/>
        </w:rPr>
        <w:t>Maj</w:t>
      </w:r>
      <w:proofErr w:type="spellEnd"/>
      <w:r w:rsidRPr="007F5710">
        <w:rPr>
          <w:sz w:val="24"/>
        </w:rPr>
        <w:t xml:space="preserve"> Michael </w:t>
      </w:r>
      <w:proofErr w:type="spellStart"/>
      <w:r w:rsidRPr="007F5710">
        <w:rPr>
          <w:sz w:val="24"/>
        </w:rPr>
        <w:t>Cardoza</w:t>
      </w:r>
      <w:proofErr w:type="spellEnd"/>
      <w:r w:rsidRPr="007F5710">
        <w:rPr>
          <w:sz w:val="24"/>
        </w:rPr>
        <w:t>.  We appreciate the tremendous support from Army’s CND commander, LTC James Pa</w:t>
      </w:r>
      <w:r w:rsidRPr="007F5710">
        <w:rPr>
          <w:sz w:val="24"/>
        </w:rPr>
        <w:t>r</w:t>
      </w:r>
      <w:r w:rsidRPr="007F5710">
        <w:rPr>
          <w:sz w:val="24"/>
        </w:rPr>
        <w:t xml:space="preserve">sons.  Finally, they would like to acknowledge </w:t>
      </w:r>
      <w:r w:rsidRPr="007F5710">
        <w:rPr>
          <w:sz w:val="24"/>
        </w:rPr>
        <w:lastRenderedPageBreak/>
        <w:t>the professionalism and the contributions of all of the participants of the exercise on which this paper is based.  Their service was in the finest traditions of the United State Army, of the United States Air Force and of the Cal</w:t>
      </w:r>
      <w:r w:rsidRPr="007F5710">
        <w:rPr>
          <w:sz w:val="24"/>
        </w:rPr>
        <w:t>i</w:t>
      </w:r>
      <w:r w:rsidRPr="007F5710">
        <w:rPr>
          <w:sz w:val="24"/>
        </w:rPr>
        <w:t xml:space="preserve">fornia Air National Guard.  </w:t>
      </w:r>
    </w:p>
    <w:p w:rsidR="00ED1A58" w:rsidRDefault="00ED1A58" w:rsidP="00C4017A"/>
    <w:p w:rsidR="00BE41C9" w:rsidRDefault="00BE41C9" w:rsidP="00C4017A"/>
    <w:p w:rsidR="00BE41C9" w:rsidRDefault="00BE41C9" w:rsidP="00C4017A"/>
    <w:p w:rsidR="00471F75" w:rsidRPr="00471F75" w:rsidRDefault="00471F75" w:rsidP="00471F75">
      <w:pPr>
        <w:rPr>
          <w:i/>
          <w:sz w:val="24"/>
        </w:rPr>
      </w:pPr>
      <w:r w:rsidRPr="00471F75">
        <w:rPr>
          <w:i/>
          <w:sz w:val="24"/>
        </w:rPr>
        <w:t>Ke-Thia Yao is a research scientist in the Comput</w:t>
      </w:r>
      <w:r w:rsidRPr="00471F75">
        <w:rPr>
          <w:i/>
          <w:sz w:val="24"/>
        </w:rPr>
        <w:t>a</w:t>
      </w:r>
      <w:r w:rsidRPr="00471F75">
        <w:rPr>
          <w:i/>
          <w:sz w:val="24"/>
        </w:rPr>
        <w:t>tional Systems and Technology Division of the Unive</w:t>
      </w:r>
      <w:r w:rsidRPr="00471F75">
        <w:rPr>
          <w:i/>
          <w:sz w:val="24"/>
        </w:rPr>
        <w:t>r</w:t>
      </w:r>
      <w:r w:rsidRPr="00471F75">
        <w:rPr>
          <w:i/>
          <w:sz w:val="24"/>
        </w:rPr>
        <w:t>sity of Southern California (USC) Information Sc</w:t>
      </w:r>
      <w:r w:rsidRPr="00471F75">
        <w:rPr>
          <w:i/>
          <w:sz w:val="24"/>
        </w:rPr>
        <w:t>i</w:t>
      </w:r>
      <w:r w:rsidRPr="00471F75">
        <w:rPr>
          <w:i/>
          <w:sz w:val="24"/>
        </w:rPr>
        <w:t xml:space="preserve">ences Institute (ISI). His primary research interest is </w:t>
      </w:r>
      <w:proofErr w:type="gramStart"/>
      <w:r w:rsidRPr="00471F75">
        <w:rPr>
          <w:i/>
          <w:sz w:val="24"/>
        </w:rPr>
        <w:t>understand</w:t>
      </w:r>
      <w:proofErr w:type="gramEnd"/>
      <w:r w:rsidRPr="00471F75">
        <w:rPr>
          <w:i/>
          <w:sz w:val="24"/>
        </w:rPr>
        <w:t xml:space="preserve"> large complex systems and data sets. He has conducted data management research on the JESPP project with the simulation involving millions of entities. Within the JESPP project he developed a suite of monitoring/logging/analysis tools to help users better understand the computational and behavioral properties of large-scale simulations. He received his B.S. degree in EECS from UC Berkeley, and his M.S. and Ph.D. degrees in Computer Science from Rutgers University.</w:t>
      </w:r>
    </w:p>
    <w:p w:rsidR="00471F75" w:rsidRPr="00471F75" w:rsidRDefault="00471F75" w:rsidP="00471F75">
      <w:pPr>
        <w:rPr>
          <w:i/>
          <w:sz w:val="24"/>
        </w:rPr>
      </w:pPr>
    </w:p>
    <w:p w:rsidR="00471F75" w:rsidRPr="00471F75" w:rsidRDefault="00471F75" w:rsidP="00471F75">
      <w:pPr>
        <w:rPr>
          <w:i/>
          <w:sz w:val="24"/>
        </w:rPr>
      </w:pPr>
      <w:r w:rsidRPr="00471F75">
        <w:rPr>
          <w:i/>
          <w:sz w:val="24"/>
        </w:rPr>
        <w:t>John J. Tran is a Major in the California Air N</w:t>
      </w:r>
      <w:r w:rsidRPr="00471F75">
        <w:rPr>
          <w:i/>
          <w:sz w:val="24"/>
        </w:rPr>
        <w:t>a</w:t>
      </w:r>
      <w:r>
        <w:rPr>
          <w:i/>
          <w:sz w:val="24"/>
        </w:rPr>
        <w:t xml:space="preserve">tional Guard. </w:t>
      </w:r>
      <w:r w:rsidRPr="00471F75">
        <w:rPr>
          <w:i/>
          <w:sz w:val="24"/>
        </w:rPr>
        <w:t xml:space="preserve">He has worked at ISI, USC, the Stanford Linear Accelerator Center, </w:t>
      </w:r>
      <w:proofErr w:type="spellStart"/>
      <w:r w:rsidRPr="00471F75">
        <w:rPr>
          <w:i/>
          <w:sz w:val="24"/>
        </w:rPr>
        <w:t>Safetopia</w:t>
      </w:r>
      <w:proofErr w:type="spellEnd"/>
      <w:r w:rsidRPr="00471F75">
        <w:rPr>
          <w:i/>
          <w:sz w:val="24"/>
        </w:rPr>
        <w:t xml:space="preserve">, and Intel Corporation. </w:t>
      </w:r>
      <w:r>
        <w:rPr>
          <w:i/>
          <w:sz w:val="24"/>
        </w:rPr>
        <w:t>At USC,</w:t>
      </w:r>
      <w:r w:rsidRPr="00471F75">
        <w:rPr>
          <w:i/>
          <w:sz w:val="24"/>
        </w:rPr>
        <w:t xml:space="preserve"> he focused on Object-oriented software engineering, large-scale software sy</w:t>
      </w:r>
      <w:r w:rsidRPr="00471F75">
        <w:rPr>
          <w:i/>
          <w:sz w:val="24"/>
        </w:rPr>
        <w:t>s</w:t>
      </w:r>
      <w:r w:rsidRPr="00471F75">
        <w:rPr>
          <w:i/>
          <w:sz w:val="24"/>
        </w:rPr>
        <w:t>tem design and implementation, and high performance p</w:t>
      </w:r>
      <w:r>
        <w:rPr>
          <w:i/>
          <w:sz w:val="24"/>
        </w:rPr>
        <w:t>arallel and scientific computing. Air Force</w:t>
      </w:r>
      <w:r w:rsidRPr="00471F75">
        <w:rPr>
          <w:i/>
          <w:sz w:val="24"/>
        </w:rPr>
        <w:t xml:space="preserve"> tours i</w:t>
      </w:r>
      <w:r w:rsidRPr="00471F75">
        <w:rPr>
          <w:i/>
          <w:sz w:val="24"/>
        </w:rPr>
        <w:t>n</w:t>
      </w:r>
      <w:r w:rsidRPr="00471F75">
        <w:rPr>
          <w:i/>
          <w:sz w:val="24"/>
        </w:rPr>
        <w:t>cluded the White House Communications Agency and Kirkuk Regional Air Base (Iraq), where he was the Communications Squadron Commander. John is a PhD candidate in Computer Science at USC and is a programmer at the Aerospace Corporation. He r</w:t>
      </w:r>
      <w:r w:rsidRPr="00471F75">
        <w:rPr>
          <w:i/>
          <w:sz w:val="24"/>
        </w:rPr>
        <w:t>e</w:t>
      </w:r>
      <w:r w:rsidRPr="00471F75">
        <w:rPr>
          <w:i/>
          <w:sz w:val="24"/>
        </w:rPr>
        <w:t>ceived both his BS and MS Degrees in Computer Science and Engineering from the University of Notre Dame</w:t>
      </w:r>
    </w:p>
    <w:p w:rsidR="00471F75" w:rsidRPr="00471F75" w:rsidRDefault="00471F75" w:rsidP="00471F75">
      <w:pPr>
        <w:rPr>
          <w:i/>
          <w:sz w:val="24"/>
        </w:rPr>
      </w:pPr>
    </w:p>
    <w:p w:rsidR="00341D22" w:rsidRDefault="00471F75" w:rsidP="00471F75">
      <w:pPr>
        <w:rPr>
          <w:i/>
          <w:sz w:val="24"/>
        </w:rPr>
      </w:pPr>
      <w:r w:rsidRPr="00471F75">
        <w:rPr>
          <w:i/>
          <w:sz w:val="24"/>
        </w:rPr>
        <w:t>Robert F. Lucas is a Deputy Director of the Info</w:t>
      </w:r>
      <w:r w:rsidRPr="00471F75">
        <w:rPr>
          <w:i/>
          <w:sz w:val="24"/>
        </w:rPr>
        <w:t>r</w:t>
      </w:r>
      <w:r w:rsidRPr="00471F75">
        <w:rPr>
          <w:i/>
          <w:sz w:val="24"/>
        </w:rPr>
        <w:t>mation Sciences Institute at the University of Southern California and leads the Computational Sciences D</w:t>
      </w:r>
      <w:r w:rsidRPr="00471F75">
        <w:rPr>
          <w:i/>
          <w:sz w:val="24"/>
        </w:rPr>
        <w:t>i</w:t>
      </w:r>
      <w:r w:rsidRPr="00471F75">
        <w:rPr>
          <w:i/>
          <w:sz w:val="24"/>
        </w:rPr>
        <w:t xml:space="preserve">vision. He is a Research Associate Professor in the USC Department of Computer Science. At ISI he manages research in computer architectures, VLSI, compilers, and other software tools. </w:t>
      </w:r>
      <w:proofErr w:type="gramStart"/>
      <w:r w:rsidRPr="00471F75">
        <w:rPr>
          <w:i/>
          <w:sz w:val="24"/>
        </w:rPr>
        <w:t xml:space="preserve">Prior to joining </w:t>
      </w:r>
      <w:r w:rsidRPr="00471F75">
        <w:rPr>
          <w:i/>
          <w:sz w:val="24"/>
        </w:rPr>
        <w:lastRenderedPageBreak/>
        <w:t>ISI, he did tours as the Director of High Performance Computing Research for NERSC, the Deputy Dire</w:t>
      </w:r>
      <w:r w:rsidRPr="00471F75">
        <w:rPr>
          <w:i/>
          <w:sz w:val="24"/>
        </w:rPr>
        <w:t>c</w:t>
      </w:r>
      <w:r w:rsidRPr="00471F75">
        <w:rPr>
          <w:i/>
          <w:sz w:val="24"/>
        </w:rPr>
        <w:t xml:space="preserve">tor </w:t>
      </w:r>
      <w:r>
        <w:rPr>
          <w:i/>
          <w:sz w:val="24"/>
        </w:rPr>
        <w:t>at DARPA's</w:t>
      </w:r>
      <w:r w:rsidRPr="00471F75">
        <w:rPr>
          <w:i/>
          <w:sz w:val="24"/>
        </w:rPr>
        <w:t>, and a researcher at the Institute for Defense Analyses.</w:t>
      </w:r>
      <w:proofErr w:type="gramEnd"/>
      <w:r w:rsidRPr="00471F75">
        <w:rPr>
          <w:i/>
          <w:sz w:val="24"/>
        </w:rPr>
        <w:t xml:space="preserve"> </w:t>
      </w:r>
      <w:proofErr w:type="gramStart"/>
      <w:r w:rsidRPr="00471F75">
        <w:rPr>
          <w:i/>
          <w:sz w:val="24"/>
        </w:rPr>
        <w:t>Dr. Lucas earned BS, MS, and PhD degrees in Electrical Engineering from Stanford University.</w:t>
      </w:r>
      <w:proofErr w:type="gramEnd"/>
    </w:p>
    <w:p w:rsidR="00471F75" w:rsidRPr="007F5710" w:rsidRDefault="00471F75" w:rsidP="00471F75">
      <w:pPr>
        <w:rPr>
          <w:i/>
          <w:sz w:val="24"/>
        </w:rPr>
      </w:pPr>
    </w:p>
    <w:p w:rsidR="00471F75" w:rsidRDefault="00341D22" w:rsidP="00C4017A">
      <w:pPr>
        <w:rPr>
          <w:i/>
          <w:sz w:val="24"/>
        </w:rPr>
      </w:pPr>
      <w:r w:rsidRPr="007F5710">
        <w:rPr>
          <w:i/>
          <w:sz w:val="24"/>
        </w:rPr>
        <w:t>Dan Davis is a consultant for the Information Scien</w:t>
      </w:r>
      <w:r w:rsidRPr="007F5710">
        <w:rPr>
          <w:i/>
          <w:sz w:val="24"/>
        </w:rPr>
        <w:t>c</w:t>
      </w:r>
      <w:r w:rsidRPr="007F5710">
        <w:rPr>
          <w:i/>
          <w:sz w:val="24"/>
        </w:rPr>
        <w:t>es Institute, University of Southern California, focu</w:t>
      </w:r>
      <w:r w:rsidRPr="007F5710">
        <w:rPr>
          <w:i/>
          <w:sz w:val="24"/>
        </w:rPr>
        <w:t>s</w:t>
      </w:r>
      <w:r w:rsidRPr="007F5710">
        <w:rPr>
          <w:i/>
          <w:sz w:val="24"/>
        </w:rPr>
        <w:t>ing on large-scale distributed simulations. There, he led the JESPP project for a decade. As Assistant Dire</w:t>
      </w:r>
      <w:r w:rsidRPr="007F5710">
        <w:rPr>
          <w:i/>
          <w:sz w:val="24"/>
        </w:rPr>
        <w:t>c</w:t>
      </w:r>
      <w:r w:rsidRPr="007F5710">
        <w:rPr>
          <w:i/>
          <w:sz w:val="24"/>
        </w:rPr>
        <w:t>tor of CACR at Caltech, he managed Synthetic For</w:t>
      </w:r>
      <w:r w:rsidRPr="007F5710">
        <w:rPr>
          <w:i/>
          <w:sz w:val="24"/>
        </w:rPr>
        <w:t>c</w:t>
      </w:r>
      <w:r w:rsidRPr="007F5710">
        <w:rPr>
          <w:i/>
          <w:sz w:val="24"/>
        </w:rPr>
        <w:t xml:space="preserve">es Express, introducing HPC to </w:t>
      </w:r>
      <w:proofErr w:type="gramStart"/>
      <w:r w:rsidRPr="007F5710">
        <w:rPr>
          <w:i/>
          <w:sz w:val="24"/>
        </w:rPr>
        <w:t>DoD</w:t>
      </w:r>
      <w:proofErr w:type="gramEnd"/>
      <w:r w:rsidRPr="007F5710">
        <w:rPr>
          <w:i/>
          <w:sz w:val="24"/>
        </w:rPr>
        <w:t xml:space="preserve"> simulations. He was the Chairman of the Coalition of Academic Supercomputing Centers and has taught at the coll</w:t>
      </w:r>
      <w:r w:rsidRPr="007F5710">
        <w:rPr>
          <w:i/>
          <w:sz w:val="24"/>
        </w:rPr>
        <w:t>e</w:t>
      </w:r>
      <w:r w:rsidRPr="007F5710">
        <w:rPr>
          <w:i/>
          <w:sz w:val="24"/>
        </w:rPr>
        <w:t>giate level.  Dan started writing FORTRAN pr</w:t>
      </w:r>
      <w:r w:rsidRPr="007F5710">
        <w:rPr>
          <w:i/>
          <w:sz w:val="24"/>
        </w:rPr>
        <w:t>o</w:t>
      </w:r>
      <w:r w:rsidRPr="007F5710">
        <w:rPr>
          <w:i/>
          <w:sz w:val="24"/>
        </w:rPr>
        <w:t xml:space="preserve">grams in 1971 on Seymour Cray’s CDC 6500’s. He served in Vietnam as a USMC Cryptologist and </w:t>
      </w:r>
      <w:r w:rsidRPr="007F5710">
        <w:rPr>
          <w:i/>
          <w:sz w:val="24"/>
        </w:rPr>
        <w:lastRenderedPageBreak/>
        <w:t>retired as a Commander, U.S.N.R. He received B.A. and J.D. degrees from the University of Colorado</w:t>
      </w:r>
      <w:r w:rsidR="00471F75">
        <w:rPr>
          <w:i/>
          <w:sz w:val="24"/>
        </w:rPr>
        <w:t>.</w:t>
      </w:r>
    </w:p>
    <w:p w:rsidR="00471F75" w:rsidRDefault="00471F75" w:rsidP="00C4017A">
      <w:pPr>
        <w:rPr>
          <w:i/>
          <w:sz w:val="24"/>
        </w:rPr>
      </w:pPr>
    </w:p>
    <w:p w:rsidR="00563006" w:rsidRDefault="00471F75" w:rsidP="00C4017A">
      <w:pPr>
        <w:rPr>
          <w:i/>
          <w:sz w:val="24"/>
        </w:rPr>
      </w:pPr>
      <w:proofErr w:type="gramStart"/>
      <w:r w:rsidRPr="00471F75">
        <w:rPr>
          <w:i/>
          <w:sz w:val="24"/>
        </w:rPr>
        <w:t>Daniel P. Burns is a lifelong Systems Engineer</w:t>
      </w:r>
      <w:r w:rsidR="00563006">
        <w:rPr>
          <w:i/>
          <w:sz w:val="24"/>
        </w:rPr>
        <w:t>,</w:t>
      </w:r>
      <w:r w:rsidRPr="00471F75">
        <w:rPr>
          <w:i/>
          <w:sz w:val="24"/>
        </w:rPr>
        <w:t xml:space="preserve"> first with the Active Duty Navy, then </w:t>
      </w:r>
      <w:r w:rsidR="00FC5A50">
        <w:rPr>
          <w:i/>
          <w:sz w:val="24"/>
        </w:rPr>
        <w:t>SAIC,</w:t>
      </w:r>
      <w:r w:rsidRPr="00471F75">
        <w:rPr>
          <w:i/>
          <w:sz w:val="24"/>
        </w:rPr>
        <w:t xml:space="preserve"> and small business.</w:t>
      </w:r>
      <w:proofErr w:type="gramEnd"/>
      <w:r w:rsidRPr="00471F75">
        <w:rPr>
          <w:i/>
          <w:sz w:val="24"/>
        </w:rPr>
        <w:t xml:space="preserve"> He </w:t>
      </w:r>
      <w:r w:rsidR="00563006" w:rsidRPr="00471F75">
        <w:rPr>
          <w:i/>
          <w:sz w:val="24"/>
        </w:rPr>
        <w:t>served as</w:t>
      </w:r>
      <w:r w:rsidRPr="00471F75">
        <w:rPr>
          <w:i/>
          <w:sz w:val="24"/>
        </w:rPr>
        <w:t xml:space="preserve"> Naval Chair and Professor of Practice in Systems </w:t>
      </w:r>
      <w:proofErr w:type="gramStart"/>
      <w:r w:rsidRPr="00471F75">
        <w:rPr>
          <w:i/>
          <w:sz w:val="24"/>
        </w:rPr>
        <w:t>Engineering</w:t>
      </w:r>
      <w:proofErr w:type="gramEnd"/>
      <w:r w:rsidRPr="00471F75">
        <w:rPr>
          <w:i/>
          <w:sz w:val="24"/>
        </w:rPr>
        <w:t xml:space="preserve"> at the Naval Pos</w:t>
      </w:r>
      <w:r w:rsidRPr="00471F75">
        <w:rPr>
          <w:i/>
          <w:sz w:val="24"/>
        </w:rPr>
        <w:t>t</w:t>
      </w:r>
      <w:r w:rsidRPr="00471F75">
        <w:rPr>
          <w:i/>
          <w:sz w:val="24"/>
        </w:rPr>
        <w:t>g</w:t>
      </w:r>
      <w:r w:rsidR="00FC5A50">
        <w:rPr>
          <w:i/>
          <w:sz w:val="24"/>
        </w:rPr>
        <w:t>raduate School (NPS)</w:t>
      </w:r>
      <w:r w:rsidRPr="00471F75">
        <w:rPr>
          <w:i/>
          <w:sz w:val="24"/>
        </w:rPr>
        <w:t xml:space="preserve">.  </w:t>
      </w:r>
      <w:r w:rsidR="00FC5A50">
        <w:rPr>
          <w:i/>
          <w:sz w:val="24"/>
        </w:rPr>
        <w:t>Captain Burns</w:t>
      </w:r>
      <w:r w:rsidRPr="00471F75">
        <w:rPr>
          <w:i/>
          <w:sz w:val="24"/>
        </w:rPr>
        <w:t xml:space="preserve"> served as the as the Military Associate Dean and as acting Dean of the Graduate School of Engineering and Applied Sc</w:t>
      </w:r>
      <w:r w:rsidR="00FC5A50">
        <w:rPr>
          <w:i/>
          <w:sz w:val="24"/>
        </w:rPr>
        <w:t xml:space="preserve">iences at NPS. </w:t>
      </w:r>
      <w:r w:rsidRPr="00471F75">
        <w:rPr>
          <w:i/>
          <w:sz w:val="24"/>
        </w:rPr>
        <w:t>His research interests center on analyses of both human and resource utilization in defense efforts.  Captain Burns received a BS degree from the U.S. Naval Academy and an MS from the Naval Postgraduate School.  He is currently finishing his dissertation for a PhD from Southern Methodist University.</w:t>
      </w:r>
      <w:r w:rsidR="00563006">
        <w:rPr>
          <w:i/>
          <w:sz w:val="24"/>
        </w:rPr>
        <w:t xml:space="preserve"> </w:t>
      </w:r>
    </w:p>
    <w:p w:rsidR="003C2242" w:rsidRDefault="003C2242" w:rsidP="00C4017A">
      <w:pPr>
        <w:rPr>
          <w:i/>
          <w:sz w:val="24"/>
        </w:rPr>
        <w:sectPr w:rsidR="003C2242" w:rsidSect="00523E95">
          <w:endnotePr>
            <w:numFmt w:val="decimal"/>
          </w:endnotePr>
          <w:type w:val="continuous"/>
          <w:pgSz w:w="12240" w:h="15840"/>
          <w:pgMar w:top="1440" w:right="1440" w:bottom="1440" w:left="1440" w:header="720" w:footer="720" w:gutter="0"/>
          <w:cols w:num="2" w:space="720"/>
          <w:titlePg/>
          <w:docGrid w:linePitch="360"/>
        </w:sectPr>
      </w:pPr>
    </w:p>
    <w:p w:rsidR="009B551A" w:rsidRPr="007F5710" w:rsidRDefault="009B551A" w:rsidP="00C4017A">
      <w:pPr>
        <w:rPr>
          <w:i/>
          <w:sz w:val="24"/>
        </w:rPr>
      </w:pPr>
    </w:p>
    <w:sectPr w:rsidR="009B551A" w:rsidRPr="007F5710"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68" w:rsidRDefault="005F0768" w:rsidP="00C4017A">
      <w:r>
        <w:separator/>
      </w:r>
    </w:p>
  </w:endnote>
  <w:endnote w:type="continuationSeparator" w:id="0">
    <w:p w:rsidR="005F0768" w:rsidRDefault="005F0768" w:rsidP="00C4017A">
      <w:r>
        <w:continuationSeparator/>
      </w:r>
    </w:p>
  </w:endnote>
  <w:endnote w:id="1">
    <w:p w:rsidR="00587012" w:rsidRPr="003C2242" w:rsidRDefault="00587012" w:rsidP="003C2242">
      <w:pPr>
        <w:pStyle w:val="EndnoteText"/>
        <w:ind w:firstLine="360"/>
      </w:pPr>
      <w:r w:rsidRPr="003C2242">
        <w:rPr>
          <w:rStyle w:val="EndnoteReference"/>
        </w:rPr>
        <w:endnoteRef/>
      </w:r>
      <w:r w:rsidRPr="003C2242">
        <w:t xml:space="preserve"> </w:t>
      </w:r>
      <w:r w:rsidR="003C2242" w:rsidRPr="003C2242">
        <w:t>Gottschalk, T. D., Yao, K-T., Wagenbreth, G. &amp; Davis, D. M., (2010), “Distributed and Interactive Si</w:t>
      </w:r>
      <w:r w:rsidR="003C2242" w:rsidRPr="003C2242">
        <w:t>m</w:t>
      </w:r>
      <w:r w:rsidR="003C2242" w:rsidRPr="003C2242">
        <w:t>ulations Operating at Large Scale for Transcontinental Experimentation”, in the Proceedings of the IEEE/ACM Distributed Simulations and Real Time Applications 2010 Conference, Fairfax, Virginia</w:t>
      </w:r>
    </w:p>
  </w:endnote>
  <w:endnote w:id="2">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Lucas, R., &amp; Davis, D., (2003). Joint Experime</w:t>
      </w:r>
      <w:r w:rsidRPr="003C2242">
        <w:rPr>
          <w:rFonts w:ascii="Garamond" w:hAnsi="Garamond"/>
        </w:rPr>
        <w:t>n</w:t>
      </w:r>
      <w:r w:rsidRPr="003C2242">
        <w:rPr>
          <w:rFonts w:ascii="Garamond" w:hAnsi="Garamond"/>
        </w:rPr>
        <w:t xml:space="preserve">tation on Scalable Parallel Processors, in the </w:t>
      </w:r>
      <w:r w:rsidRPr="003C2242">
        <w:rPr>
          <w:rStyle w:val="Emphasis"/>
          <w:rFonts w:ascii="Garamond" w:hAnsi="Garamond"/>
        </w:rPr>
        <w:t>Proceedings of the Interservice/Industry Simulation, Training and Education Conference</w:t>
      </w:r>
      <w:r w:rsidRPr="003C2242">
        <w:rPr>
          <w:rFonts w:ascii="Garamond" w:hAnsi="Garamond"/>
        </w:rPr>
        <w:t>, Orlando, Florida, 2003</w:t>
      </w:r>
    </w:p>
    <w:p w:rsidR="00587012" w:rsidRPr="003C2242" w:rsidRDefault="00587012" w:rsidP="003C2242">
      <w:pPr>
        <w:pStyle w:val="EndnoteText"/>
        <w:ind w:firstLine="360"/>
      </w:pPr>
    </w:p>
  </w:endnote>
  <w:endnote w:id="3">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Yao, K-T., Ward, C. E. &amp; Davis, D. M., (2011), “Data Fusion of Geographically Dispersed  Info</w:t>
      </w:r>
      <w:r w:rsidRPr="003C2242">
        <w:rPr>
          <w:rFonts w:ascii="Garamond" w:hAnsi="Garamond"/>
        </w:rPr>
        <w:t>r</w:t>
      </w:r>
      <w:r w:rsidRPr="003C2242">
        <w:rPr>
          <w:rFonts w:ascii="Garamond" w:hAnsi="Garamond"/>
        </w:rPr>
        <w:t xml:space="preserve">mation: Experience with the Scalable Data Grid”, </w:t>
      </w:r>
      <w:r w:rsidRPr="003C2242">
        <w:rPr>
          <w:rFonts w:ascii="Garamond" w:hAnsi="Garamond"/>
          <w:i/>
        </w:rPr>
        <w:t>The ITEA Journal of Test and Evaluation</w:t>
      </w:r>
      <w:r w:rsidRPr="003C2242">
        <w:rPr>
          <w:rFonts w:ascii="Garamond" w:hAnsi="Garamond"/>
        </w:rPr>
        <w:t xml:space="preserve"> , Fairfax Virginia </w:t>
      </w:r>
    </w:p>
    <w:p w:rsidR="00587012" w:rsidRPr="003C2242" w:rsidRDefault="00587012" w:rsidP="003C2242">
      <w:pPr>
        <w:pStyle w:val="EndnoteText"/>
        <w:ind w:firstLine="360"/>
      </w:pPr>
    </w:p>
  </w:endnote>
  <w:endnote w:id="4">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Gertner, A. S. &amp; Webber B. L., (1996), </w:t>
      </w:r>
      <w:proofErr w:type="gramStart"/>
      <w:r w:rsidRPr="003C2242">
        <w:rPr>
          <w:rFonts w:ascii="Garamond" w:hAnsi="Garamond"/>
        </w:rPr>
        <w:t>A</w:t>
      </w:r>
      <w:proofErr w:type="gramEnd"/>
      <w:r w:rsidRPr="003C2242">
        <w:rPr>
          <w:rFonts w:ascii="Garamond" w:hAnsi="Garamond"/>
        </w:rPr>
        <w:t xml:space="preserve"> Bias towards Relevance: Recognizing Plans where Goal Minimization Fails. </w:t>
      </w:r>
      <w:r w:rsidRPr="003C2242">
        <w:rPr>
          <w:rFonts w:ascii="Garamond" w:hAnsi="Garamond"/>
          <w:i/>
        </w:rPr>
        <w:t xml:space="preserve">AAAI/IAAI, Vol. 2 </w:t>
      </w:r>
      <w:r w:rsidRPr="003C2242">
        <w:rPr>
          <w:rFonts w:ascii="Garamond" w:hAnsi="Garamond"/>
        </w:rPr>
        <w:t>1996: 1133-1138</w:t>
      </w:r>
    </w:p>
    <w:p w:rsidR="00587012" w:rsidRPr="003C2242" w:rsidRDefault="00587012" w:rsidP="003C2242">
      <w:pPr>
        <w:pStyle w:val="EndnoteText"/>
        <w:ind w:firstLine="360"/>
      </w:pPr>
    </w:p>
  </w:endnote>
  <w:endnote w:id="5">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w:t>
      </w:r>
      <w:proofErr w:type="gramStart"/>
      <w:r w:rsidRPr="003C2242">
        <w:rPr>
          <w:rFonts w:ascii="Garamond" w:hAnsi="Garamond"/>
        </w:rPr>
        <w:t>Kimball, R., L. M. Reeves, M. Ross, &amp; W. Thornwaite.</w:t>
      </w:r>
      <w:proofErr w:type="gramEnd"/>
      <w:r w:rsidRPr="003C2242">
        <w:rPr>
          <w:rFonts w:ascii="Garamond" w:hAnsi="Garamond"/>
        </w:rPr>
        <w:t xml:space="preserve"> (1998). </w:t>
      </w:r>
      <w:r w:rsidRPr="003C2242">
        <w:rPr>
          <w:rFonts w:ascii="Garamond" w:hAnsi="Garamond"/>
          <w:i/>
        </w:rPr>
        <w:t>The Data Warehouse Lifecycle Toolkit</w:t>
      </w:r>
      <w:r w:rsidRPr="003C2242">
        <w:rPr>
          <w:rFonts w:ascii="Garamond" w:hAnsi="Garamond"/>
        </w:rPr>
        <w:t>. Hoboken, New Jersey: Wiley</w:t>
      </w:r>
    </w:p>
    <w:p w:rsidR="00587012" w:rsidRPr="003C2242" w:rsidRDefault="00587012" w:rsidP="003C2242">
      <w:pPr>
        <w:pStyle w:val="EndnoteText"/>
        <w:ind w:firstLine="360"/>
      </w:pPr>
    </w:p>
  </w:endnote>
  <w:endnote w:id="6">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w:t>
      </w:r>
      <w:proofErr w:type="gramStart"/>
      <w:r w:rsidRPr="003C2242">
        <w:rPr>
          <w:rFonts w:ascii="Garamond" w:hAnsi="Garamond"/>
        </w:rPr>
        <w:t>Yao, K.-T., &amp; Wagenbreth, G. (2005).</w:t>
      </w:r>
      <w:proofErr w:type="gramEnd"/>
      <w:r w:rsidRPr="003C2242">
        <w:rPr>
          <w:rFonts w:ascii="Garamond" w:hAnsi="Garamond"/>
        </w:rPr>
        <w:t xml:space="preserve"> Simulation Data Grid: Joint Experimentation Data Management and Analysis. In the Proceedings of the 2005 </w:t>
      </w:r>
      <w:r w:rsidRPr="003C2242">
        <w:rPr>
          <w:rFonts w:ascii="Garamond" w:hAnsi="Garamond"/>
          <w:i/>
        </w:rPr>
        <w:t>I/ITSEC</w:t>
      </w:r>
      <w:r w:rsidRPr="003C2242">
        <w:rPr>
          <w:rFonts w:ascii="Garamond" w:hAnsi="Garamond"/>
        </w:rPr>
        <w:t>, Orlando, Florida.</w:t>
      </w:r>
    </w:p>
    <w:p w:rsidR="00587012" w:rsidRPr="003C2242" w:rsidRDefault="00587012" w:rsidP="003C2242">
      <w:pPr>
        <w:pStyle w:val="EndnoteText"/>
        <w:ind w:firstLine="360"/>
      </w:pPr>
    </w:p>
  </w:endnote>
  <w:endnote w:id="7">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National Initiative, (2015), </w:t>
      </w:r>
      <w:r w:rsidRPr="003C2242">
        <w:rPr>
          <w:rFonts w:ascii="Garamond" w:hAnsi="Garamond"/>
          <w:i/>
        </w:rPr>
        <w:t>The Comprehensive N</w:t>
      </w:r>
      <w:r w:rsidRPr="003C2242">
        <w:rPr>
          <w:rFonts w:ascii="Garamond" w:hAnsi="Garamond"/>
          <w:i/>
        </w:rPr>
        <w:t>a</w:t>
      </w:r>
      <w:r w:rsidRPr="003C2242">
        <w:rPr>
          <w:rFonts w:ascii="Garamond" w:hAnsi="Garamond"/>
          <w:i/>
        </w:rPr>
        <w:t>tional Cybersecurity Initiative</w:t>
      </w:r>
      <w:r w:rsidRPr="003C2242">
        <w:rPr>
          <w:rFonts w:ascii="Garamond" w:hAnsi="Garamond"/>
        </w:rPr>
        <w:t>, Retrieved from: https://www.whitehouse.gov/issues/foreign-policy/cybersecurity/national-initiative</w:t>
      </w:r>
    </w:p>
    <w:p w:rsidR="00587012" w:rsidRPr="003C2242" w:rsidRDefault="00587012" w:rsidP="003C2242">
      <w:pPr>
        <w:pStyle w:val="EndnoteText"/>
        <w:ind w:firstLine="360"/>
      </w:pPr>
    </w:p>
  </w:endnote>
  <w:endnote w:id="8">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Cybersecurity Threats, (2014), </w:t>
      </w:r>
      <w:r w:rsidRPr="003C2242">
        <w:rPr>
          <w:rFonts w:ascii="Garamond" w:hAnsi="Garamond"/>
          <w:i/>
        </w:rPr>
        <w:t>Hearing of the House (Select) Intelligence Committee Subject: "Cybersecurity Threats: The Way Forward"</w:t>
      </w:r>
      <w:r w:rsidRPr="003C2242">
        <w:rPr>
          <w:rFonts w:ascii="Garamond" w:hAnsi="Garamond"/>
        </w:rPr>
        <w:t>, November 20, 2014, Testimony of Admiral Michael Rogers</w:t>
      </w:r>
    </w:p>
    <w:p w:rsidR="00587012" w:rsidRPr="003C2242" w:rsidRDefault="00587012" w:rsidP="003C2242">
      <w:pPr>
        <w:pStyle w:val="EndnoteText"/>
        <w:ind w:firstLine="360"/>
      </w:pPr>
    </w:p>
  </w:endnote>
  <w:endnote w:id="9">
    <w:p w:rsidR="003C2242" w:rsidRPr="003C2242" w:rsidRDefault="00587012" w:rsidP="003C2242">
      <w:pPr>
        <w:pStyle w:val="EndnoteText"/>
        <w:ind w:firstLine="360"/>
      </w:pPr>
      <w:r w:rsidRPr="003C2242">
        <w:rPr>
          <w:rStyle w:val="EndnoteReference"/>
        </w:rPr>
        <w:endnoteRef/>
      </w:r>
      <w:r w:rsidRPr="003C2242">
        <w:t xml:space="preserve"> </w:t>
      </w:r>
      <w:r w:rsidR="003C2242" w:rsidRPr="003C2242">
        <w:t>van Riper, P.K. (2004), The Immutable Nature</w:t>
      </w:r>
    </w:p>
    <w:p w:rsidR="003C2242" w:rsidRPr="003C2242" w:rsidRDefault="003C2242" w:rsidP="003C2242">
      <w:pPr>
        <w:pStyle w:val="EndnoteText"/>
      </w:pPr>
      <w:r w:rsidRPr="003C2242">
        <w:t xml:space="preserve">of War, Interview transcript recorded by NOVA, the Public Broadcasting System, Retrieved from: </w:t>
      </w:r>
    </w:p>
    <w:p w:rsidR="00587012" w:rsidRDefault="00BB3152" w:rsidP="003C2242">
      <w:pPr>
        <w:pStyle w:val="EndnoteText"/>
      </w:pPr>
      <w:hyperlink r:id="rId1" w:history="1">
        <w:r w:rsidR="003C2242" w:rsidRPr="00825D62">
          <w:rPr>
            <w:rStyle w:val="Hyperlink"/>
          </w:rPr>
          <w:t>http://www.pbs.org/wgbh/nova/military/immutable-nature-war.html on 10 February 215</w:t>
        </w:r>
      </w:hyperlink>
    </w:p>
    <w:p w:rsidR="003C2242" w:rsidRPr="003C2242" w:rsidRDefault="003C2242" w:rsidP="003C2242">
      <w:pPr>
        <w:pStyle w:val="EndnoteText"/>
      </w:pPr>
    </w:p>
  </w:endnote>
  <w:endnote w:id="10">
    <w:p w:rsidR="00587012" w:rsidRDefault="00587012" w:rsidP="003C2242">
      <w:pPr>
        <w:pStyle w:val="EndnoteText"/>
        <w:ind w:firstLine="360"/>
      </w:pPr>
      <w:r w:rsidRPr="003C2242">
        <w:rPr>
          <w:rStyle w:val="EndnoteReference"/>
        </w:rPr>
        <w:endnoteRef/>
      </w:r>
      <w:r w:rsidRPr="003C2242">
        <w:t xml:space="preserve"> </w:t>
      </w:r>
      <w:r w:rsidR="00C03964" w:rsidRPr="003C2242">
        <w:t>Jean, G.V. (2006), Game Branches Out Into R</w:t>
      </w:r>
      <w:r w:rsidR="00C03964" w:rsidRPr="003C2242">
        <w:t>e</w:t>
      </w:r>
      <w:r w:rsidR="00C03964" w:rsidRPr="003C2242">
        <w:t xml:space="preserve">al Combat Training, appearing in National Defense, Retrieved from: </w:t>
      </w:r>
      <w:hyperlink r:id="rId2" w:history="1">
        <w:r w:rsidR="003C2242" w:rsidRPr="00825D62">
          <w:rPr>
            <w:rStyle w:val="Hyperlink"/>
          </w:rPr>
          <w:t>http://www.nationaldefensemagazine.org/archive/2006/February/Pages/games_brance3042.aspx</w:t>
        </w:r>
      </w:hyperlink>
    </w:p>
    <w:p w:rsidR="003C2242" w:rsidRPr="003C2242" w:rsidRDefault="003C2242" w:rsidP="003C2242">
      <w:pPr>
        <w:pStyle w:val="EndnoteText"/>
        <w:ind w:firstLine="360"/>
      </w:pPr>
    </w:p>
  </w:endnote>
  <w:endnote w:id="11">
    <w:p w:rsidR="00587012" w:rsidRDefault="00587012" w:rsidP="003C2242">
      <w:pPr>
        <w:pStyle w:val="EndnoteText"/>
        <w:ind w:firstLine="360"/>
      </w:pPr>
      <w:r w:rsidRPr="003C2242">
        <w:rPr>
          <w:rStyle w:val="EndnoteReference"/>
        </w:rPr>
        <w:endnoteRef/>
      </w:r>
      <w:r w:rsidRPr="003C2242">
        <w:t xml:space="preserve"> </w:t>
      </w:r>
      <w:r w:rsidR="00C03964" w:rsidRPr="003C2242">
        <w:t xml:space="preserve">Tran, J. J., Castello, B. R., Lucas, D. W. H. R. F., Yao, K. T., &amp; Davis, D. M. (2015). "Employing High Performance Computing to Realize a Cyber Quick-Reaction Training Environment.” in the </w:t>
      </w:r>
      <w:r w:rsidR="00C03964" w:rsidRPr="003C2242">
        <w:rPr>
          <w:rStyle w:val="Emphasis"/>
          <w:rFonts w:eastAsiaTheme="majorEastAsia"/>
        </w:rPr>
        <w:t xml:space="preserve">Proceedings of </w:t>
      </w:r>
      <w:proofErr w:type="spellStart"/>
      <w:r w:rsidR="00C03964" w:rsidRPr="003C2242">
        <w:rPr>
          <w:rStyle w:val="Emphasis"/>
          <w:rFonts w:eastAsiaTheme="majorEastAsia"/>
        </w:rPr>
        <w:t>ModSIM</w:t>
      </w:r>
      <w:proofErr w:type="spellEnd"/>
      <w:r w:rsidR="00C03964" w:rsidRPr="003C2242">
        <w:rPr>
          <w:rStyle w:val="Emphasis"/>
          <w:rFonts w:eastAsiaTheme="majorEastAsia"/>
        </w:rPr>
        <w:t xml:space="preserve"> World</w:t>
      </w:r>
      <w:r w:rsidR="00C03964" w:rsidRPr="003C2242">
        <w:t>, Norfolk, Virginia, March, 2015</w:t>
      </w:r>
    </w:p>
    <w:p w:rsidR="003C2242" w:rsidRPr="003C2242" w:rsidRDefault="003C2242" w:rsidP="003C2242">
      <w:pPr>
        <w:pStyle w:val="EndnoteText"/>
        <w:ind w:firstLine="360"/>
      </w:pPr>
    </w:p>
  </w:endnote>
  <w:endnote w:id="12">
    <w:p w:rsidR="00587012" w:rsidRPr="003C2242" w:rsidRDefault="00587012" w:rsidP="003C2242">
      <w:pPr>
        <w:pStyle w:val="EndnoteText"/>
        <w:ind w:firstLine="360"/>
      </w:pPr>
      <w:r w:rsidRPr="003C2242">
        <w:rPr>
          <w:rStyle w:val="EndnoteReference"/>
        </w:rPr>
        <w:endnoteRef/>
      </w:r>
      <w:r w:rsidRPr="003C2242">
        <w:t xml:space="preserve"> Yao, K-T., Tran, </w:t>
      </w:r>
      <w:r w:rsidR="00C03964" w:rsidRPr="003C2242">
        <w:t xml:space="preserve">J. J., Lucas, &amp; Davis, D. M. , </w:t>
      </w:r>
      <w:r w:rsidRPr="003C2242">
        <w:t>2015</w:t>
      </w:r>
      <w:r w:rsidR="00C03964" w:rsidRPr="003C2242">
        <w:t xml:space="preserve"> (</w:t>
      </w:r>
      <w:r w:rsidRPr="003C2242">
        <w:t>Pending), “Effective Data Logging and Display of Small Unit Simulations,” in the Proceedings of the Interservice/Industry Simulation, Training and Educ</w:t>
      </w:r>
      <w:r w:rsidRPr="003C2242">
        <w:t>a</w:t>
      </w:r>
      <w:r w:rsidRPr="003C2242">
        <w:t>tion Conference, Orlando, Florida, November, 201</w:t>
      </w:r>
      <w:r w:rsidR="00C03964" w:rsidRPr="003C2242">
        <w:t>5</w:t>
      </w:r>
    </w:p>
  </w:endnote>
  <w:endnote w:id="13">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w:t>
      </w:r>
      <w:proofErr w:type="gramStart"/>
      <w:r w:rsidRPr="003C2242">
        <w:rPr>
          <w:rFonts w:ascii="Garamond" w:hAnsi="Garamond"/>
        </w:rPr>
        <w:t>Gabbard, J. L., &amp; Swan, J. E. (2008).</w:t>
      </w:r>
      <w:proofErr w:type="gramEnd"/>
      <w:r w:rsidRPr="003C2242">
        <w:rPr>
          <w:rFonts w:ascii="Garamond" w:hAnsi="Garamond"/>
        </w:rPr>
        <w:t xml:space="preserve"> Usability engineering for augmented reality: Employing user-based studies to inform design. </w:t>
      </w:r>
      <w:r w:rsidRPr="003C2242">
        <w:rPr>
          <w:rFonts w:ascii="Garamond" w:hAnsi="Garamond"/>
          <w:i/>
        </w:rPr>
        <w:t>Visualization and Co</w:t>
      </w:r>
      <w:r w:rsidRPr="003C2242">
        <w:rPr>
          <w:rFonts w:ascii="Garamond" w:hAnsi="Garamond"/>
          <w:i/>
        </w:rPr>
        <w:t>m</w:t>
      </w:r>
      <w:r w:rsidRPr="003C2242">
        <w:rPr>
          <w:rFonts w:ascii="Garamond" w:hAnsi="Garamond"/>
          <w:i/>
        </w:rPr>
        <w:t>puter Graphics, IEEE Transactions on</w:t>
      </w:r>
      <w:r w:rsidRPr="003C2242">
        <w:rPr>
          <w:rFonts w:ascii="Garamond" w:hAnsi="Garamond"/>
        </w:rPr>
        <w:t>, 14(3), 513-525.</w:t>
      </w:r>
    </w:p>
    <w:p w:rsidR="00587012" w:rsidRPr="003C2242" w:rsidRDefault="00587012" w:rsidP="003C2242">
      <w:pPr>
        <w:pStyle w:val="EndnoteText"/>
        <w:ind w:firstLine="360"/>
      </w:pPr>
    </w:p>
  </w:endnote>
  <w:endnote w:id="14">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w:t>
      </w:r>
      <w:proofErr w:type="spellStart"/>
      <w:proofErr w:type="gramStart"/>
      <w:r w:rsidRPr="003C2242">
        <w:rPr>
          <w:rFonts w:ascii="Garamond" w:hAnsi="Garamond"/>
        </w:rPr>
        <w:t>Stodden</w:t>
      </w:r>
      <w:proofErr w:type="spellEnd"/>
      <w:r w:rsidRPr="003C2242">
        <w:rPr>
          <w:rFonts w:ascii="Garamond" w:hAnsi="Garamond"/>
        </w:rPr>
        <w:t>, V., &amp; Miguez, S. (2013).</w:t>
      </w:r>
      <w:proofErr w:type="gramEnd"/>
      <w:r w:rsidRPr="003C2242">
        <w:rPr>
          <w:rFonts w:ascii="Garamond" w:hAnsi="Garamond"/>
        </w:rPr>
        <w:t xml:space="preserve"> Best practices for computational science: Software infrastructure and environments for reproducible and extensible research. Available at SSRN 2322276. Retrieved from: http://papers.ssrn.com/sol3/Delivery.cfm/SSRN_ID2322276_code1204238.pdf?abstractid=2322276&amp;mirid=1</w:t>
      </w:r>
    </w:p>
    <w:p w:rsidR="00587012" w:rsidRPr="003C2242" w:rsidRDefault="00587012" w:rsidP="003C2242">
      <w:pPr>
        <w:pStyle w:val="EndnoteText"/>
        <w:ind w:firstLine="360"/>
      </w:pPr>
    </w:p>
  </w:endnote>
  <w:endnote w:id="15">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Microsoft Sysinternals, (2015), </w:t>
      </w:r>
      <w:r w:rsidRPr="003C2242">
        <w:rPr>
          <w:rFonts w:ascii="Garamond" w:hAnsi="Garamond"/>
          <w:i/>
        </w:rPr>
        <w:t>Sysmon V 3.0.</w:t>
      </w:r>
      <w:r w:rsidRPr="003C2242">
        <w:rPr>
          <w:rFonts w:ascii="Garamond" w:hAnsi="Garamond"/>
        </w:rPr>
        <w:t xml:space="preserve"> R</w:t>
      </w:r>
      <w:r w:rsidRPr="003C2242">
        <w:rPr>
          <w:rFonts w:ascii="Garamond" w:hAnsi="Garamond"/>
        </w:rPr>
        <w:t>e</w:t>
      </w:r>
      <w:r w:rsidRPr="003C2242">
        <w:rPr>
          <w:rFonts w:ascii="Garamond" w:hAnsi="Garamond"/>
        </w:rPr>
        <w:t>trieved from: https://technet.microsoft.com/en-us/sysinternals/dn798348</w:t>
      </w:r>
    </w:p>
    <w:p w:rsidR="00587012" w:rsidRPr="003C2242" w:rsidRDefault="00587012" w:rsidP="003C2242">
      <w:pPr>
        <w:pStyle w:val="EndnoteText"/>
        <w:ind w:firstLine="360"/>
      </w:pPr>
    </w:p>
  </w:endnote>
  <w:endnote w:id="16">
    <w:p w:rsidR="00587012" w:rsidRDefault="00587012" w:rsidP="003C2242">
      <w:pPr>
        <w:pStyle w:val="EndnoteText"/>
        <w:ind w:firstLine="360"/>
      </w:pPr>
      <w:r w:rsidRPr="003C2242">
        <w:rPr>
          <w:rStyle w:val="EndnoteReference"/>
        </w:rPr>
        <w:endnoteRef/>
      </w:r>
      <w:r w:rsidRPr="003C2242">
        <w:t xml:space="preserve"> </w:t>
      </w:r>
      <w:proofErr w:type="spellStart"/>
      <w:proofErr w:type="gramStart"/>
      <w:r w:rsidRPr="003C2242">
        <w:t>SourceForge</w:t>
      </w:r>
      <w:proofErr w:type="spellEnd"/>
      <w:r w:rsidRPr="003C2242">
        <w:t>, (2015).</w:t>
      </w:r>
      <w:proofErr w:type="gramEnd"/>
      <w:r w:rsidRPr="003C2242">
        <w:t xml:space="preserve"> </w:t>
      </w:r>
      <w:r w:rsidRPr="003C2242">
        <w:rPr>
          <w:i/>
        </w:rPr>
        <w:t>NXLog Community Edition</w:t>
      </w:r>
      <w:r w:rsidRPr="003C2242">
        <w:t xml:space="preserve">. Retrieved from: </w:t>
      </w:r>
      <w:hyperlink r:id="rId3" w:history="1">
        <w:r w:rsidR="003C2242" w:rsidRPr="00825D62">
          <w:rPr>
            <w:rStyle w:val="Hyperlink"/>
          </w:rPr>
          <w:t>http://nxlog-ce.sourceforge.net/download</w:t>
        </w:r>
      </w:hyperlink>
    </w:p>
    <w:p w:rsidR="003C2242" w:rsidRPr="003C2242" w:rsidRDefault="003C2242" w:rsidP="003C2242">
      <w:pPr>
        <w:pStyle w:val="EndnoteText"/>
        <w:ind w:firstLine="360"/>
      </w:pPr>
    </w:p>
  </w:endnote>
  <w:endnote w:id="17">
    <w:p w:rsidR="00587012" w:rsidRPr="003C2242" w:rsidRDefault="00587012" w:rsidP="003C2242">
      <w:pPr>
        <w:pStyle w:val="EndnoteText"/>
        <w:ind w:firstLine="360"/>
      </w:pPr>
      <w:r w:rsidRPr="003C2242">
        <w:rPr>
          <w:rStyle w:val="EndnoteReference"/>
        </w:rPr>
        <w:endnoteRef/>
      </w:r>
      <w:r w:rsidRPr="003C2242">
        <w:t xml:space="preserve"> </w:t>
      </w:r>
      <w:proofErr w:type="gramStart"/>
      <w:r w:rsidRPr="003C2242">
        <w:t>Fluentd, (2015).</w:t>
      </w:r>
      <w:proofErr w:type="gramEnd"/>
      <w:r w:rsidRPr="003C2242">
        <w:t xml:space="preserve"> </w:t>
      </w:r>
      <w:r w:rsidRPr="003C2242">
        <w:rPr>
          <w:i/>
        </w:rPr>
        <w:t>Fluentd | Open Source Data Colle</w:t>
      </w:r>
      <w:r w:rsidRPr="003C2242">
        <w:rPr>
          <w:i/>
        </w:rPr>
        <w:t>c</w:t>
      </w:r>
      <w:r w:rsidRPr="003C2242">
        <w:rPr>
          <w:i/>
        </w:rPr>
        <w:t>tor</w:t>
      </w:r>
      <w:r w:rsidRPr="003C2242">
        <w:t xml:space="preserve">. Retrieved from: </w:t>
      </w:r>
      <w:hyperlink r:id="rId4" w:history="1">
        <w:r w:rsidRPr="003C2242">
          <w:rPr>
            <w:rStyle w:val="Hyperlink"/>
            <w:rFonts w:eastAsiaTheme="majorEastAsia"/>
          </w:rPr>
          <w:t>http://www.fluentd.org/</w:t>
        </w:r>
      </w:hyperlink>
    </w:p>
  </w:endnote>
  <w:endnote w:id="18">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MongoDB, (2015), </w:t>
      </w:r>
      <w:r w:rsidRPr="003C2242">
        <w:rPr>
          <w:rFonts w:ascii="Garamond" w:hAnsi="Garamond"/>
          <w:i/>
        </w:rPr>
        <w:t>Downloads: MongoDB</w:t>
      </w:r>
      <w:r w:rsidRPr="003C2242">
        <w:rPr>
          <w:rFonts w:ascii="Garamond" w:hAnsi="Garamond"/>
        </w:rPr>
        <w:t>. https://www.mongodb.org/downloads</w:t>
      </w:r>
    </w:p>
    <w:p w:rsidR="00587012" w:rsidRPr="003C2242" w:rsidRDefault="00587012" w:rsidP="003C2242">
      <w:pPr>
        <w:pStyle w:val="EndnoteText"/>
        <w:ind w:firstLine="360"/>
      </w:pPr>
    </w:p>
  </w:endnote>
  <w:endnote w:id="19">
    <w:p w:rsidR="00587012" w:rsidRPr="003C2242" w:rsidRDefault="00587012" w:rsidP="003C2242">
      <w:pPr>
        <w:pStyle w:val="IITSEC-Refs"/>
        <w:spacing w:before="120"/>
        <w:ind w:left="0" w:firstLine="360"/>
        <w:rPr>
          <w:rFonts w:ascii="Garamond" w:hAnsi="Garamond"/>
        </w:rPr>
      </w:pPr>
      <w:r w:rsidRPr="003C2242">
        <w:rPr>
          <w:rStyle w:val="EndnoteReference"/>
          <w:rFonts w:ascii="Garamond" w:hAnsi="Garamond"/>
        </w:rPr>
        <w:endnoteRef/>
      </w:r>
      <w:r w:rsidRPr="003C2242">
        <w:rPr>
          <w:rFonts w:ascii="Garamond" w:hAnsi="Garamond"/>
        </w:rPr>
        <w:t xml:space="preserve"> Boulanger, A. (2005). Open-source versus pr</w:t>
      </w:r>
      <w:r w:rsidRPr="003C2242">
        <w:rPr>
          <w:rFonts w:ascii="Garamond" w:hAnsi="Garamond"/>
        </w:rPr>
        <w:t>o</w:t>
      </w:r>
      <w:r w:rsidRPr="003C2242">
        <w:rPr>
          <w:rFonts w:ascii="Garamond" w:hAnsi="Garamond"/>
        </w:rPr>
        <w:t xml:space="preserve">prietary software: Is one more reliable and secure than the other?. </w:t>
      </w:r>
      <w:r w:rsidRPr="003C2242">
        <w:rPr>
          <w:rFonts w:ascii="Garamond" w:hAnsi="Garamond"/>
          <w:i/>
        </w:rPr>
        <w:t>IBM Systems Journal</w:t>
      </w:r>
      <w:r w:rsidRPr="003C2242">
        <w:rPr>
          <w:rFonts w:ascii="Garamond" w:hAnsi="Garamond"/>
        </w:rPr>
        <w:t>, 44(2), 239-248.</w:t>
      </w:r>
    </w:p>
    <w:p w:rsidR="00587012" w:rsidRPr="003C2242" w:rsidRDefault="00587012">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68" w:rsidRDefault="005F0768" w:rsidP="00C4017A">
      <w:r>
        <w:separator/>
      </w:r>
    </w:p>
  </w:footnote>
  <w:footnote w:type="continuationSeparator" w:id="0">
    <w:p w:rsidR="005F0768" w:rsidRDefault="005F0768" w:rsidP="00C40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12" w:rsidRDefault="00587012" w:rsidP="00C4017A">
    <w:pPr>
      <w:pStyle w:val="Header"/>
      <w:pBdr>
        <w:bottom w:val="single" w:sz="6" w:space="1" w:color="auto"/>
      </w:pBdr>
      <w:jc w:val="center"/>
    </w:pPr>
    <w:r>
      <w:t>Yao, Tran, Davis, Burns &amp; Lucas</w:t>
    </w:r>
  </w:p>
  <w:p w:rsidR="00587012" w:rsidRPr="00C4017A" w:rsidRDefault="00587012" w:rsidP="00C4017A">
    <w:pPr>
      <w:pStyle w:val="Header"/>
      <w:pBdr>
        <w:bottom w:val="single" w:sz="6" w:space="1" w:color="auto"/>
      </w:pBdr>
      <w:jc w:val="center"/>
      <w:rPr>
        <w:sz w:val="10"/>
        <w:szCs w:val="10"/>
      </w:rPr>
    </w:pPr>
  </w:p>
  <w:p w:rsidR="00587012" w:rsidRPr="00F6740E" w:rsidRDefault="00587012" w:rsidP="00C4017A">
    <w:pPr>
      <w:pStyle w:val="Header"/>
      <w:jc w:val="center"/>
    </w:pPr>
  </w:p>
  <w:p w:rsidR="00587012" w:rsidRDefault="00587012" w:rsidP="00C4017A">
    <w:pPr>
      <w:pStyle w:val="Header"/>
    </w:pPr>
  </w:p>
  <w:p w:rsidR="00587012" w:rsidRPr="00523E95" w:rsidRDefault="00587012" w:rsidP="00C40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12" w:rsidRDefault="00587012" w:rsidP="00C4017A">
    <w:pPr>
      <w:pStyle w:val="Header"/>
      <w:pBdr>
        <w:bottom w:val="single" w:sz="6" w:space="1" w:color="auto"/>
      </w:pBdr>
      <w:jc w:val="center"/>
    </w:pPr>
    <w:r>
      <w:t>System Engineering Scalable Cyber Warfare Test Environments</w:t>
    </w:r>
  </w:p>
  <w:p w:rsidR="00587012" w:rsidRPr="00C4017A" w:rsidRDefault="00587012" w:rsidP="00C4017A">
    <w:pPr>
      <w:pStyle w:val="Header"/>
      <w:pBdr>
        <w:bottom w:val="single" w:sz="6" w:space="1" w:color="auto"/>
      </w:pBdr>
      <w:jc w:val="center"/>
      <w:rPr>
        <w:sz w:val="10"/>
        <w:szCs w:val="10"/>
      </w:rPr>
    </w:pPr>
  </w:p>
  <w:p w:rsidR="00587012" w:rsidRPr="00523E95" w:rsidRDefault="00587012" w:rsidP="00C4017A">
    <w:pPr>
      <w:pStyle w:val="Header"/>
      <w:jc w:val="center"/>
    </w:pPr>
  </w:p>
  <w:p w:rsidR="00587012" w:rsidRPr="00F6740E" w:rsidRDefault="00587012" w:rsidP="00C4017A">
    <w:pPr>
      <w:pStyle w:val="Header"/>
    </w:pPr>
  </w:p>
  <w:p w:rsidR="00587012" w:rsidRDefault="00587012" w:rsidP="00C401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12" w:rsidRDefault="00587012" w:rsidP="00C4017A">
    <w:pPr>
      <w:pStyle w:val="Header"/>
    </w:pPr>
    <w:r w:rsidRPr="00523E95">
      <w:t>The ITEA Journal; 36-3</w:t>
    </w:r>
  </w:p>
  <w:p w:rsidR="00587012" w:rsidRPr="00F6740E" w:rsidRDefault="00587012" w:rsidP="00C4017A">
    <w:pPr>
      <w:pStyle w:val="Header"/>
    </w:pPr>
  </w:p>
  <w:p w:rsidR="00587012" w:rsidRPr="00523E95" w:rsidRDefault="00587012" w:rsidP="00C4017A">
    <w:pPr>
      <w:pStyle w:val="Header"/>
    </w:pPr>
  </w:p>
  <w:p w:rsidR="00587012" w:rsidRPr="00523E95" w:rsidRDefault="00587012" w:rsidP="00C401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552BA"/>
    <w:rsid w:val="00064F4B"/>
    <w:rsid w:val="00071556"/>
    <w:rsid w:val="00074995"/>
    <w:rsid w:val="00082232"/>
    <w:rsid w:val="000842B5"/>
    <w:rsid w:val="000863DD"/>
    <w:rsid w:val="00086496"/>
    <w:rsid w:val="00090F80"/>
    <w:rsid w:val="000935D7"/>
    <w:rsid w:val="000A01FF"/>
    <w:rsid w:val="000A4A2A"/>
    <w:rsid w:val="000B1D0C"/>
    <w:rsid w:val="000B3541"/>
    <w:rsid w:val="000B67A7"/>
    <w:rsid w:val="000C396F"/>
    <w:rsid w:val="000C4532"/>
    <w:rsid w:val="000D01D2"/>
    <w:rsid w:val="000D2218"/>
    <w:rsid w:val="000D34DD"/>
    <w:rsid w:val="000D751C"/>
    <w:rsid w:val="000E15BD"/>
    <w:rsid w:val="000E2D4A"/>
    <w:rsid w:val="000E5036"/>
    <w:rsid w:val="000E5DD5"/>
    <w:rsid w:val="000E6BED"/>
    <w:rsid w:val="000F1108"/>
    <w:rsid w:val="000F35A7"/>
    <w:rsid w:val="00106DC7"/>
    <w:rsid w:val="0011239D"/>
    <w:rsid w:val="001132BD"/>
    <w:rsid w:val="001176A5"/>
    <w:rsid w:val="0011794B"/>
    <w:rsid w:val="001225C9"/>
    <w:rsid w:val="00123F60"/>
    <w:rsid w:val="0012696D"/>
    <w:rsid w:val="00126E7A"/>
    <w:rsid w:val="00131A47"/>
    <w:rsid w:val="001346CA"/>
    <w:rsid w:val="0014549A"/>
    <w:rsid w:val="001520B9"/>
    <w:rsid w:val="00153F77"/>
    <w:rsid w:val="00157F9A"/>
    <w:rsid w:val="00172365"/>
    <w:rsid w:val="00172E84"/>
    <w:rsid w:val="00174D2C"/>
    <w:rsid w:val="00174D67"/>
    <w:rsid w:val="0017584A"/>
    <w:rsid w:val="00177839"/>
    <w:rsid w:val="00191577"/>
    <w:rsid w:val="00197FD7"/>
    <w:rsid w:val="001A7A07"/>
    <w:rsid w:val="001B0D95"/>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22240"/>
    <w:rsid w:val="00224376"/>
    <w:rsid w:val="002260EE"/>
    <w:rsid w:val="0023099F"/>
    <w:rsid w:val="00235B76"/>
    <w:rsid w:val="00236DE7"/>
    <w:rsid w:val="002416F6"/>
    <w:rsid w:val="00243359"/>
    <w:rsid w:val="002436C1"/>
    <w:rsid w:val="0024591D"/>
    <w:rsid w:val="00247E6F"/>
    <w:rsid w:val="00263E36"/>
    <w:rsid w:val="00264FE0"/>
    <w:rsid w:val="002652FB"/>
    <w:rsid w:val="00265DB3"/>
    <w:rsid w:val="002701CE"/>
    <w:rsid w:val="0027269C"/>
    <w:rsid w:val="002751A2"/>
    <w:rsid w:val="002776DE"/>
    <w:rsid w:val="0027788B"/>
    <w:rsid w:val="00282AD4"/>
    <w:rsid w:val="00283241"/>
    <w:rsid w:val="00286D35"/>
    <w:rsid w:val="002924CA"/>
    <w:rsid w:val="00293C52"/>
    <w:rsid w:val="002945D9"/>
    <w:rsid w:val="002952B5"/>
    <w:rsid w:val="002A73A4"/>
    <w:rsid w:val="002B14AC"/>
    <w:rsid w:val="002B1EF5"/>
    <w:rsid w:val="002C22D1"/>
    <w:rsid w:val="002C34B7"/>
    <w:rsid w:val="002D086E"/>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356A"/>
    <w:rsid w:val="00397BA7"/>
    <w:rsid w:val="003A551B"/>
    <w:rsid w:val="003B3FBC"/>
    <w:rsid w:val="003B5495"/>
    <w:rsid w:val="003B5B1A"/>
    <w:rsid w:val="003C2242"/>
    <w:rsid w:val="003C289C"/>
    <w:rsid w:val="003C2F8A"/>
    <w:rsid w:val="003C347A"/>
    <w:rsid w:val="003C685B"/>
    <w:rsid w:val="003C715A"/>
    <w:rsid w:val="003D0B8A"/>
    <w:rsid w:val="003D0BF1"/>
    <w:rsid w:val="003D0DCB"/>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1F75"/>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5CA8"/>
    <w:rsid w:val="004D7515"/>
    <w:rsid w:val="004E0584"/>
    <w:rsid w:val="004E089D"/>
    <w:rsid w:val="004E60CC"/>
    <w:rsid w:val="004E6329"/>
    <w:rsid w:val="004F1A00"/>
    <w:rsid w:val="004F1BCE"/>
    <w:rsid w:val="004F2837"/>
    <w:rsid w:val="004F55F3"/>
    <w:rsid w:val="005079A9"/>
    <w:rsid w:val="005118AD"/>
    <w:rsid w:val="005158F6"/>
    <w:rsid w:val="0051623C"/>
    <w:rsid w:val="00523C81"/>
    <w:rsid w:val="00523E95"/>
    <w:rsid w:val="005252AC"/>
    <w:rsid w:val="00525E49"/>
    <w:rsid w:val="00526941"/>
    <w:rsid w:val="005313E4"/>
    <w:rsid w:val="0053214D"/>
    <w:rsid w:val="00534527"/>
    <w:rsid w:val="005374C0"/>
    <w:rsid w:val="0054256B"/>
    <w:rsid w:val="00543B98"/>
    <w:rsid w:val="00544740"/>
    <w:rsid w:val="00546C80"/>
    <w:rsid w:val="0055080A"/>
    <w:rsid w:val="00550E56"/>
    <w:rsid w:val="00551D7D"/>
    <w:rsid w:val="005547C7"/>
    <w:rsid w:val="00556878"/>
    <w:rsid w:val="00560122"/>
    <w:rsid w:val="00561F04"/>
    <w:rsid w:val="00563006"/>
    <w:rsid w:val="0056523F"/>
    <w:rsid w:val="00580994"/>
    <w:rsid w:val="00583000"/>
    <w:rsid w:val="00584923"/>
    <w:rsid w:val="005863E9"/>
    <w:rsid w:val="00587012"/>
    <w:rsid w:val="00590306"/>
    <w:rsid w:val="00594FAE"/>
    <w:rsid w:val="00596D0C"/>
    <w:rsid w:val="005A03F3"/>
    <w:rsid w:val="005A1EDC"/>
    <w:rsid w:val="005A45B8"/>
    <w:rsid w:val="005B6172"/>
    <w:rsid w:val="005C4D68"/>
    <w:rsid w:val="005D2C00"/>
    <w:rsid w:val="005D2CFC"/>
    <w:rsid w:val="005D621D"/>
    <w:rsid w:val="005E09E5"/>
    <w:rsid w:val="005F0768"/>
    <w:rsid w:val="005F60CF"/>
    <w:rsid w:val="005F69B4"/>
    <w:rsid w:val="00604C97"/>
    <w:rsid w:val="00607476"/>
    <w:rsid w:val="006138F5"/>
    <w:rsid w:val="00617E39"/>
    <w:rsid w:val="00622356"/>
    <w:rsid w:val="00622808"/>
    <w:rsid w:val="00622FA7"/>
    <w:rsid w:val="006243AA"/>
    <w:rsid w:val="00624870"/>
    <w:rsid w:val="00625C5F"/>
    <w:rsid w:val="00627339"/>
    <w:rsid w:val="00630C14"/>
    <w:rsid w:val="0063186B"/>
    <w:rsid w:val="00631FAB"/>
    <w:rsid w:val="006332FC"/>
    <w:rsid w:val="0065279E"/>
    <w:rsid w:val="00652E1C"/>
    <w:rsid w:val="00661D78"/>
    <w:rsid w:val="00662E3D"/>
    <w:rsid w:val="00663AB4"/>
    <w:rsid w:val="006643DA"/>
    <w:rsid w:val="0066457E"/>
    <w:rsid w:val="00673320"/>
    <w:rsid w:val="006736FF"/>
    <w:rsid w:val="00676D16"/>
    <w:rsid w:val="006772F9"/>
    <w:rsid w:val="00681CAA"/>
    <w:rsid w:val="00686E18"/>
    <w:rsid w:val="00687690"/>
    <w:rsid w:val="00687761"/>
    <w:rsid w:val="00694381"/>
    <w:rsid w:val="00697CC5"/>
    <w:rsid w:val="006A042E"/>
    <w:rsid w:val="006A5178"/>
    <w:rsid w:val="006A70D0"/>
    <w:rsid w:val="006A7DFB"/>
    <w:rsid w:val="006B2185"/>
    <w:rsid w:val="006B3FEA"/>
    <w:rsid w:val="006C098F"/>
    <w:rsid w:val="006D2389"/>
    <w:rsid w:val="006D4931"/>
    <w:rsid w:val="006D5FCE"/>
    <w:rsid w:val="006E2297"/>
    <w:rsid w:val="006E2D37"/>
    <w:rsid w:val="006E3C12"/>
    <w:rsid w:val="006E4A77"/>
    <w:rsid w:val="006E6662"/>
    <w:rsid w:val="006E727D"/>
    <w:rsid w:val="006F17F8"/>
    <w:rsid w:val="006F3E51"/>
    <w:rsid w:val="006F7B65"/>
    <w:rsid w:val="007011AC"/>
    <w:rsid w:val="00703790"/>
    <w:rsid w:val="007061B9"/>
    <w:rsid w:val="00706D98"/>
    <w:rsid w:val="007072A6"/>
    <w:rsid w:val="00713BA5"/>
    <w:rsid w:val="0072233F"/>
    <w:rsid w:val="00726824"/>
    <w:rsid w:val="0073236C"/>
    <w:rsid w:val="00735009"/>
    <w:rsid w:val="007438FE"/>
    <w:rsid w:val="00744D93"/>
    <w:rsid w:val="00746BC8"/>
    <w:rsid w:val="00747C95"/>
    <w:rsid w:val="007511CA"/>
    <w:rsid w:val="007519F9"/>
    <w:rsid w:val="00751BB9"/>
    <w:rsid w:val="007559F3"/>
    <w:rsid w:val="007614CA"/>
    <w:rsid w:val="0077713E"/>
    <w:rsid w:val="00784ADC"/>
    <w:rsid w:val="00787DEB"/>
    <w:rsid w:val="00793879"/>
    <w:rsid w:val="007A0339"/>
    <w:rsid w:val="007A36F6"/>
    <w:rsid w:val="007A3A9A"/>
    <w:rsid w:val="007A6B5B"/>
    <w:rsid w:val="007A7ACA"/>
    <w:rsid w:val="007B145A"/>
    <w:rsid w:val="007B1950"/>
    <w:rsid w:val="007B3C45"/>
    <w:rsid w:val="007B63D5"/>
    <w:rsid w:val="007B663E"/>
    <w:rsid w:val="007B785A"/>
    <w:rsid w:val="007C4297"/>
    <w:rsid w:val="007D1744"/>
    <w:rsid w:val="007E7EEE"/>
    <w:rsid w:val="007F38CB"/>
    <w:rsid w:val="007F41ED"/>
    <w:rsid w:val="007F5710"/>
    <w:rsid w:val="007F5ACF"/>
    <w:rsid w:val="00800A36"/>
    <w:rsid w:val="00803DA2"/>
    <w:rsid w:val="00805431"/>
    <w:rsid w:val="00805C37"/>
    <w:rsid w:val="00806729"/>
    <w:rsid w:val="00807D5B"/>
    <w:rsid w:val="00807EB4"/>
    <w:rsid w:val="00814068"/>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4667"/>
    <w:rsid w:val="008554DB"/>
    <w:rsid w:val="008555AA"/>
    <w:rsid w:val="00856066"/>
    <w:rsid w:val="00857974"/>
    <w:rsid w:val="00860C9B"/>
    <w:rsid w:val="008612FA"/>
    <w:rsid w:val="00861759"/>
    <w:rsid w:val="00865DC5"/>
    <w:rsid w:val="008701DD"/>
    <w:rsid w:val="00880D54"/>
    <w:rsid w:val="00880E42"/>
    <w:rsid w:val="008968F6"/>
    <w:rsid w:val="008A11EA"/>
    <w:rsid w:val="008B114F"/>
    <w:rsid w:val="008B1343"/>
    <w:rsid w:val="008B1CB2"/>
    <w:rsid w:val="008B3780"/>
    <w:rsid w:val="008B3888"/>
    <w:rsid w:val="008B5005"/>
    <w:rsid w:val="008B7212"/>
    <w:rsid w:val="008B78A7"/>
    <w:rsid w:val="008B79A2"/>
    <w:rsid w:val="008C0732"/>
    <w:rsid w:val="008C1CBA"/>
    <w:rsid w:val="008C6566"/>
    <w:rsid w:val="008C6C67"/>
    <w:rsid w:val="008D1CA0"/>
    <w:rsid w:val="008D33F9"/>
    <w:rsid w:val="008E0645"/>
    <w:rsid w:val="008E0CAD"/>
    <w:rsid w:val="008E2035"/>
    <w:rsid w:val="008E473A"/>
    <w:rsid w:val="008E5D46"/>
    <w:rsid w:val="008E6442"/>
    <w:rsid w:val="008E7955"/>
    <w:rsid w:val="008F08CF"/>
    <w:rsid w:val="008F1B13"/>
    <w:rsid w:val="009011FD"/>
    <w:rsid w:val="0090225F"/>
    <w:rsid w:val="009033AA"/>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6A0F"/>
    <w:rsid w:val="00976112"/>
    <w:rsid w:val="00983BE2"/>
    <w:rsid w:val="00986F50"/>
    <w:rsid w:val="009901F2"/>
    <w:rsid w:val="009A1E28"/>
    <w:rsid w:val="009A3733"/>
    <w:rsid w:val="009B0261"/>
    <w:rsid w:val="009B33E1"/>
    <w:rsid w:val="009B551A"/>
    <w:rsid w:val="009C24A9"/>
    <w:rsid w:val="009C51BF"/>
    <w:rsid w:val="009C7FED"/>
    <w:rsid w:val="009D2FCE"/>
    <w:rsid w:val="009D364C"/>
    <w:rsid w:val="009D3A6D"/>
    <w:rsid w:val="009D4536"/>
    <w:rsid w:val="009D5532"/>
    <w:rsid w:val="009E0DD4"/>
    <w:rsid w:val="009E0E66"/>
    <w:rsid w:val="009E17BE"/>
    <w:rsid w:val="009E61C6"/>
    <w:rsid w:val="009E62BB"/>
    <w:rsid w:val="009E6F53"/>
    <w:rsid w:val="009F0859"/>
    <w:rsid w:val="009F2548"/>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7A46"/>
    <w:rsid w:val="00A6235E"/>
    <w:rsid w:val="00A63158"/>
    <w:rsid w:val="00A64DE0"/>
    <w:rsid w:val="00A7256D"/>
    <w:rsid w:val="00A75317"/>
    <w:rsid w:val="00A7680B"/>
    <w:rsid w:val="00A76FA1"/>
    <w:rsid w:val="00A82CC4"/>
    <w:rsid w:val="00A84854"/>
    <w:rsid w:val="00A946D4"/>
    <w:rsid w:val="00A96242"/>
    <w:rsid w:val="00AA090D"/>
    <w:rsid w:val="00AA55CD"/>
    <w:rsid w:val="00AA685B"/>
    <w:rsid w:val="00AB4776"/>
    <w:rsid w:val="00AB6EC8"/>
    <w:rsid w:val="00AC0B28"/>
    <w:rsid w:val="00AC69C3"/>
    <w:rsid w:val="00AD1F50"/>
    <w:rsid w:val="00AD32E4"/>
    <w:rsid w:val="00AD3F35"/>
    <w:rsid w:val="00AD4635"/>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5E4D"/>
    <w:rsid w:val="00B907A9"/>
    <w:rsid w:val="00B90AE8"/>
    <w:rsid w:val="00B91AFA"/>
    <w:rsid w:val="00B93C4C"/>
    <w:rsid w:val="00B9407C"/>
    <w:rsid w:val="00B97122"/>
    <w:rsid w:val="00BA7BE7"/>
    <w:rsid w:val="00BB3152"/>
    <w:rsid w:val="00BB3AA8"/>
    <w:rsid w:val="00BB6E91"/>
    <w:rsid w:val="00BB7454"/>
    <w:rsid w:val="00BC2122"/>
    <w:rsid w:val="00BC21A7"/>
    <w:rsid w:val="00BC5EAC"/>
    <w:rsid w:val="00BC7B88"/>
    <w:rsid w:val="00BD0838"/>
    <w:rsid w:val="00BD132B"/>
    <w:rsid w:val="00BE2B89"/>
    <w:rsid w:val="00BE2EAA"/>
    <w:rsid w:val="00BE41C9"/>
    <w:rsid w:val="00BE5AE9"/>
    <w:rsid w:val="00BF0E36"/>
    <w:rsid w:val="00BF12E9"/>
    <w:rsid w:val="00BF3B46"/>
    <w:rsid w:val="00BF6A2F"/>
    <w:rsid w:val="00C00071"/>
    <w:rsid w:val="00C03964"/>
    <w:rsid w:val="00C125B8"/>
    <w:rsid w:val="00C129D4"/>
    <w:rsid w:val="00C15481"/>
    <w:rsid w:val="00C1690C"/>
    <w:rsid w:val="00C23E3E"/>
    <w:rsid w:val="00C244FF"/>
    <w:rsid w:val="00C24FF8"/>
    <w:rsid w:val="00C34092"/>
    <w:rsid w:val="00C34622"/>
    <w:rsid w:val="00C349A4"/>
    <w:rsid w:val="00C36FE0"/>
    <w:rsid w:val="00C4017A"/>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514"/>
    <w:rsid w:val="00CB2FE2"/>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417A"/>
    <w:rsid w:val="00D07F0A"/>
    <w:rsid w:val="00D07F1F"/>
    <w:rsid w:val="00D07FDF"/>
    <w:rsid w:val="00D11298"/>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19C1"/>
    <w:rsid w:val="00D82261"/>
    <w:rsid w:val="00D83D74"/>
    <w:rsid w:val="00D841C7"/>
    <w:rsid w:val="00D86EEC"/>
    <w:rsid w:val="00D91E0F"/>
    <w:rsid w:val="00D95E09"/>
    <w:rsid w:val="00D96C26"/>
    <w:rsid w:val="00DA0E8E"/>
    <w:rsid w:val="00DA3BCD"/>
    <w:rsid w:val="00DA5530"/>
    <w:rsid w:val="00DA6188"/>
    <w:rsid w:val="00DA6F9D"/>
    <w:rsid w:val="00DB280C"/>
    <w:rsid w:val="00DB64DB"/>
    <w:rsid w:val="00DC0177"/>
    <w:rsid w:val="00DC09F6"/>
    <w:rsid w:val="00DC23E3"/>
    <w:rsid w:val="00DC4E13"/>
    <w:rsid w:val="00DC66E0"/>
    <w:rsid w:val="00DD0009"/>
    <w:rsid w:val="00DD198E"/>
    <w:rsid w:val="00DD3230"/>
    <w:rsid w:val="00DD7A64"/>
    <w:rsid w:val="00DE1B4A"/>
    <w:rsid w:val="00DE290C"/>
    <w:rsid w:val="00DE6679"/>
    <w:rsid w:val="00DF0B61"/>
    <w:rsid w:val="00DF2A06"/>
    <w:rsid w:val="00DF4626"/>
    <w:rsid w:val="00E15765"/>
    <w:rsid w:val="00E20371"/>
    <w:rsid w:val="00E20E43"/>
    <w:rsid w:val="00E22935"/>
    <w:rsid w:val="00E27715"/>
    <w:rsid w:val="00E32288"/>
    <w:rsid w:val="00E3265B"/>
    <w:rsid w:val="00E32981"/>
    <w:rsid w:val="00E3337E"/>
    <w:rsid w:val="00E33BB0"/>
    <w:rsid w:val="00E44E7C"/>
    <w:rsid w:val="00E51BB4"/>
    <w:rsid w:val="00E51EE3"/>
    <w:rsid w:val="00E5270A"/>
    <w:rsid w:val="00E54589"/>
    <w:rsid w:val="00E56D9E"/>
    <w:rsid w:val="00E5716F"/>
    <w:rsid w:val="00E57EDA"/>
    <w:rsid w:val="00E623E6"/>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2049"/>
    <w:rsid w:val="00FB2A2B"/>
    <w:rsid w:val="00FC082F"/>
    <w:rsid w:val="00FC5A50"/>
    <w:rsid w:val="00FD20A2"/>
    <w:rsid w:val="00FD2BFB"/>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7A"/>
    <w:pPr>
      <w:spacing w:after="0" w:line="240" w:lineRule="auto"/>
      <w:jc w:val="both"/>
    </w:pPr>
    <w:rPr>
      <w:rFonts w:ascii="Garamond" w:eastAsia="Times New Roman" w:hAnsi="Garamond" w:cs="Times New Roman"/>
      <w:sz w:val="20"/>
      <w:szCs w:val="20"/>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Heading1"/>
    <w:next w:val="Normal"/>
    <w:link w:val="Heading2Char"/>
    <w:uiPriority w:val="9"/>
    <w:unhideWhenUsed/>
    <w:qFormat/>
    <w:rsid w:val="00526941"/>
    <w:pPr>
      <w:spacing w:before="24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941"/>
    <w:rPr>
      <w:rFonts w:ascii="Arial" w:eastAsiaTheme="majorEastAsia" w:hAnsi="Arial" w:cstheme="majorBidi"/>
      <w:b/>
      <w:bCs/>
      <w:sz w:val="28"/>
      <w:szCs w:val="28"/>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unhideWhenUsed/>
    <w:rsid w:val="00D25D0B"/>
    <w:pPr>
      <w:tabs>
        <w:tab w:val="center" w:pos="4680"/>
        <w:tab w:val="right" w:pos="9360"/>
      </w:tabs>
    </w:pPr>
  </w:style>
  <w:style w:type="character" w:customStyle="1" w:styleId="HeaderChar">
    <w:name w:val="Header Char"/>
    <w:basedOn w:val="DefaultParagraphFont"/>
    <w:link w:val="Header"/>
    <w:uiPriority w:val="99"/>
    <w:rsid w:val="00D25D0B"/>
    <w:rPr>
      <w:rFonts w:ascii="Garamond" w:eastAsiaTheme="minorEastAsia" w:hAnsi="Garamond"/>
      <w:sz w:val="24"/>
    </w:rPr>
  </w:style>
  <w:style w:type="paragraph" w:styleId="Footer">
    <w:name w:val="footer"/>
    <w:basedOn w:val="Normal"/>
    <w:link w:val="FooterChar"/>
    <w:uiPriority w:val="99"/>
    <w:semiHidden/>
    <w:unhideWhenUsed/>
    <w:rsid w:val="00D25D0B"/>
    <w:pPr>
      <w:tabs>
        <w:tab w:val="center" w:pos="4680"/>
        <w:tab w:val="right" w:pos="9360"/>
      </w:tabs>
    </w:pPr>
  </w:style>
  <w:style w:type="character" w:customStyle="1" w:styleId="FooterChar">
    <w:name w:val="Footer Char"/>
    <w:basedOn w:val="DefaultParagraphFont"/>
    <w:link w:val="Footer"/>
    <w:uiPriority w:val="99"/>
    <w:semiHidden/>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unhideWhenUsed/>
    <w:rsid w:val="009B551A"/>
  </w:style>
  <w:style w:type="character" w:customStyle="1" w:styleId="EndnoteTextChar">
    <w:name w:val="Endnote Text Char"/>
    <w:basedOn w:val="DefaultParagraphFont"/>
    <w:link w:val="EndnoteText"/>
    <w:uiPriority w:val="99"/>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BodyText2">
    <w:name w:val="Body Text 2"/>
    <w:basedOn w:val="Normal"/>
    <w:link w:val="BodyText2Char"/>
    <w:rsid w:val="00D819C1"/>
    <w:rPr>
      <w:rFonts w:ascii="Times New Roman" w:hAnsi="Times New Roman"/>
      <w:iCs/>
    </w:rPr>
  </w:style>
  <w:style w:type="character" w:customStyle="1" w:styleId="BodyText2Char">
    <w:name w:val="Body Text 2 Char"/>
    <w:basedOn w:val="DefaultParagraphFont"/>
    <w:link w:val="BodyText2"/>
    <w:rsid w:val="00D819C1"/>
    <w:rPr>
      <w:rFonts w:ascii="Times New Roman" w:eastAsia="Times New Roman" w:hAnsi="Times New Roman" w:cs="Times New Roman"/>
      <w:iCs/>
      <w:sz w:val="20"/>
      <w:szCs w:val="20"/>
    </w:rPr>
  </w:style>
  <w:style w:type="paragraph" w:styleId="Caption">
    <w:name w:val="caption"/>
    <w:basedOn w:val="Normal"/>
    <w:next w:val="Normal"/>
    <w:unhideWhenUsed/>
    <w:qFormat/>
    <w:rsid w:val="00D819C1"/>
    <w:pPr>
      <w:spacing w:after="200"/>
    </w:pPr>
    <w:rPr>
      <w:rFonts w:ascii="Times New Roman" w:hAnsi="Times New Roman"/>
      <w:b/>
      <w:bCs/>
      <w:color w:val="4F81BD" w:themeColor="accent1"/>
      <w:sz w:val="18"/>
      <w:szCs w:val="18"/>
    </w:rPr>
  </w:style>
  <w:style w:type="table" w:styleId="TableGrid">
    <w:name w:val="Table Grid"/>
    <w:basedOn w:val="TableNormal"/>
    <w:uiPriority w:val="59"/>
    <w:rsid w:val="00D819C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link w:val="NormalIndentChar"/>
    <w:rsid w:val="00D819C1"/>
    <w:pPr>
      <w:tabs>
        <w:tab w:val="left" w:pos="360"/>
        <w:tab w:val="left" w:pos="720"/>
        <w:tab w:val="left" w:pos="1080"/>
      </w:tabs>
      <w:ind w:firstLine="360"/>
    </w:pPr>
    <w:rPr>
      <w:rFonts w:ascii="Times New Roman" w:hAnsi="Times New Roman"/>
      <w:snapToGrid w:val="0"/>
      <w:sz w:val="22"/>
    </w:rPr>
  </w:style>
  <w:style w:type="character" w:customStyle="1" w:styleId="NormalIndentChar">
    <w:name w:val="Normal Indent Char"/>
    <w:basedOn w:val="DefaultParagraphFont"/>
    <w:link w:val="NormalIndent"/>
    <w:rsid w:val="00D819C1"/>
    <w:rPr>
      <w:rFonts w:ascii="Times New Roman" w:eastAsia="Times New Roman" w:hAnsi="Times New Roman" w:cs="Times New Roman"/>
      <w:snapToGrid w:val="0"/>
      <w:szCs w:val="20"/>
    </w:rPr>
  </w:style>
  <w:style w:type="paragraph" w:customStyle="1" w:styleId="IITSEC-Refs">
    <w:name w:val="IITSEC-Refs"/>
    <w:basedOn w:val="NormalWeb"/>
    <w:link w:val="IITSEC-RefsChar"/>
    <w:qFormat/>
    <w:rsid w:val="00587012"/>
    <w:pPr>
      <w:spacing w:before="240"/>
      <w:ind w:left="274" w:hanging="274"/>
      <w:jc w:val="left"/>
    </w:pPr>
    <w:rPr>
      <w:rFonts w:eastAsia="Arial Unicode MS"/>
      <w:sz w:val="20"/>
    </w:rPr>
  </w:style>
  <w:style w:type="character" w:customStyle="1" w:styleId="IITSEC-RefsChar">
    <w:name w:val="IITSEC-Refs Char"/>
    <w:basedOn w:val="DefaultParagraphFont"/>
    <w:link w:val="IITSEC-Refs"/>
    <w:rsid w:val="00587012"/>
    <w:rPr>
      <w:rFonts w:ascii="Times New Roman" w:eastAsia="Arial Unicode MS" w:hAnsi="Times New Roman" w:cs="Times New Roman"/>
      <w:sz w:val="20"/>
      <w:szCs w:val="24"/>
    </w:rPr>
  </w:style>
  <w:style w:type="character" w:styleId="Emphasis">
    <w:name w:val="Emphasis"/>
    <w:basedOn w:val="DefaultParagraphFont"/>
    <w:uiPriority w:val="20"/>
    <w:qFormat/>
    <w:rsid w:val="00587012"/>
    <w:rPr>
      <w:i/>
      <w:iCs/>
    </w:rPr>
  </w:style>
  <w:style w:type="paragraph" w:styleId="NormalWeb">
    <w:name w:val="Normal (Web)"/>
    <w:basedOn w:val="Normal"/>
    <w:uiPriority w:val="99"/>
    <w:semiHidden/>
    <w:unhideWhenUsed/>
    <w:rsid w:val="00587012"/>
    <w:rPr>
      <w:rFonts w:ascii="Times New Roman" w:hAnsi="Times New Roman"/>
      <w:sz w:val="24"/>
      <w:szCs w:val="24"/>
    </w:rPr>
  </w:style>
  <w:style w:type="character" w:styleId="Hyperlink">
    <w:name w:val="Hyperlink"/>
    <w:basedOn w:val="DefaultParagraphFont"/>
    <w:rsid w:val="005870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nxlog-ce.sourceforge.net/download" TargetMode="External"/><Relationship Id="rId2" Type="http://schemas.openxmlformats.org/officeDocument/2006/relationships/hyperlink" Target="http://www.nationaldefensemagazine.org/archive/2006/February/Pages/games_brance3042.aspx" TargetMode="External"/><Relationship Id="rId1" Type="http://schemas.openxmlformats.org/officeDocument/2006/relationships/hyperlink" Target="http://www.pbs.org/wgbh/nova/military/immutable-nature-war.html%20on%2010%20February%20215" TargetMode="External"/><Relationship Id="rId4" Type="http://schemas.openxmlformats.org/officeDocument/2006/relationships/hyperlink" Target="http://www.fluent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9E7BE-914D-4A18-A6AF-1FD503D5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6107</Words>
  <Characters>34080</Characters>
  <Application>Microsoft Office Word</Application>
  <DocSecurity>0</DocSecurity>
  <Lines>811</Lines>
  <Paragraphs>130</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2015-09-02T01:39:00Z</cp:lastPrinted>
  <dcterms:created xsi:type="dcterms:W3CDTF">2015-09-02T16:19:00Z</dcterms:created>
  <dcterms:modified xsi:type="dcterms:W3CDTF">2015-09-02T16:19:00Z</dcterms:modified>
</cp:coreProperties>
</file>