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376" w:rsidRDefault="009B7376" w:rsidP="009B7376">
      <w:pPr>
        <w:rPr>
          <w:rFonts w:ascii="Georgia" w:hAnsi="Georgia"/>
        </w:rPr>
      </w:pPr>
      <w:r>
        <w:rPr>
          <w:rFonts w:ascii="Georgia" w:hAnsi="Georgia"/>
        </w:rPr>
        <w:t>Here is my completed addition. I was not certain about how to tie it into the previous and next sections, so if you could smooth the transition that would be appreciated. Also please double check my citations, as I am not so sure about the format correctness.</w:t>
      </w:r>
    </w:p>
    <w:p w:rsidR="009B7376" w:rsidRDefault="009B7376" w:rsidP="009B7376">
      <w:pPr>
        <w:rPr>
          <w:rFonts w:ascii="Georgia" w:hAnsi="Georgia"/>
        </w:rPr>
      </w:pPr>
    </w:p>
    <w:p w:rsidR="009B7376" w:rsidRDefault="009B7376" w:rsidP="009B7376">
      <w:pPr>
        <w:pStyle w:val="NormalWeb"/>
        <w:spacing w:before="0" w:beforeAutospacing="0" w:after="0" w:afterAutospacing="0"/>
        <w:rPr>
          <w:rFonts w:ascii="Georgia" w:hAnsi="Georgia"/>
        </w:rPr>
      </w:pPr>
      <w:proofErr w:type="spellStart"/>
      <w:proofErr w:type="gramStart"/>
      <w:r>
        <w:rPr>
          <w:color w:val="000000"/>
          <w:sz w:val="20"/>
          <w:szCs w:val="20"/>
        </w:rPr>
        <w:t>Allwood</w:t>
      </w:r>
      <w:proofErr w:type="spellEnd"/>
      <w:r>
        <w:rPr>
          <w:color w:val="000000"/>
          <w:sz w:val="20"/>
          <w:szCs w:val="20"/>
        </w:rPr>
        <w:t xml:space="preserve">, J., Traum, D., &amp; </w:t>
      </w:r>
      <w:proofErr w:type="spellStart"/>
      <w:r>
        <w:rPr>
          <w:color w:val="000000"/>
          <w:sz w:val="20"/>
          <w:szCs w:val="20"/>
        </w:rPr>
        <w:t>Jokinen</w:t>
      </w:r>
      <w:proofErr w:type="spellEnd"/>
      <w:r>
        <w:rPr>
          <w:color w:val="000000"/>
          <w:sz w:val="20"/>
          <w:szCs w:val="20"/>
        </w:rPr>
        <w:t>, K. (2000).</w:t>
      </w:r>
      <w:proofErr w:type="gramEnd"/>
      <w:r>
        <w:rPr>
          <w:color w:val="000000"/>
          <w:sz w:val="20"/>
          <w:szCs w:val="20"/>
        </w:rPr>
        <w:t xml:space="preserve"> </w:t>
      </w:r>
      <w:proofErr w:type="gramStart"/>
      <w:r>
        <w:rPr>
          <w:color w:val="000000"/>
          <w:sz w:val="20"/>
          <w:szCs w:val="20"/>
        </w:rPr>
        <w:t>Cooperation, dialogue and ethics.</w:t>
      </w:r>
      <w:proofErr w:type="gramEnd"/>
      <w:r>
        <w:rPr>
          <w:color w:val="000000"/>
          <w:sz w:val="20"/>
          <w:szCs w:val="20"/>
        </w:rPr>
        <w:t xml:space="preserve"> International Journal of Human-Computer Studies, 53(6), 871-914.</w:t>
      </w:r>
    </w:p>
    <w:p w:rsidR="009B7376" w:rsidRDefault="009B7376" w:rsidP="009B7376">
      <w:pPr>
        <w:pStyle w:val="NormalWeb"/>
        <w:spacing w:before="0" w:beforeAutospacing="0" w:after="0" w:afterAutospacing="0"/>
        <w:rPr>
          <w:rFonts w:ascii="Georgia" w:hAnsi="Georgia"/>
        </w:rPr>
      </w:pPr>
      <w:proofErr w:type="spellStart"/>
      <w:r>
        <w:rPr>
          <w:color w:val="000000"/>
          <w:sz w:val="20"/>
          <w:szCs w:val="20"/>
        </w:rPr>
        <w:t>Chowdhury</w:t>
      </w:r>
      <w:proofErr w:type="spellEnd"/>
      <w:r>
        <w:rPr>
          <w:color w:val="000000"/>
          <w:sz w:val="20"/>
          <w:szCs w:val="20"/>
        </w:rPr>
        <w:t xml:space="preserve">, G. G. (2003). </w:t>
      </w:r>
      <w:proofErr w:type="gramStart"/>
      <w:r>
        <w:rPr>
          <w:color w:val="000000"/>
          <w:sz w:val="20"/>
          <w:szCs w:val="20"/>
        </w:rPr>
        <w:t>Natural language processing.</w:t>
      </w:r>
      <w:proofErr w:type="gramEnd"/>
      <w:r>
        <w:rPr>
          <w:color w:val="000000"/>
          <w:sz w:val="20"/>
          <w:szCs w:val="20"/>
        </w:rPr>
        <w:t xml:space="preserve"> </w:t>
      </w:r>
      <w:proofErr w:type="gramStart"/>
      <w:r>
        <w:rPr>
          <w:color w:val="000000"/>
          <w:sz w:val="20"/>
          <w:szCs w:val="20"/>
        </w:rPr>
        <w:t>Annual review of information science and technology, 37(1), 51-89.</w:t>
      </w:r>
      <w:proofErr w:type="gramEnd"/>
    </w:p>
    <w:p w:rsidR="009B7376" w:rsidRDefault="009B7376" w:rsidP="009B7376">
      <w:pPr>
        <w:pStyle w:val="NormalWeb"/>
        <w:spacing w:before="0" w:beforeAutospacing="0" w:after="0" w:afterAutospacing="0"/>
        <w:rPr>
          <w:rFonts w:ascii="Georgia" w:hAnsi="Georgia"/>
        </w:rPr>
      </w:pPr>
      <w:proofErr w:type="spellStart"/>
      <w:proofErr w:type="gramStart"/>
      <w:r>
        <w:rPr>
          <w:color w:val="000000"/>
          <w:sz w:val="20"/>
          <w:szCs w:val="20"/>
        </w:rPr>
        <w:t>Collobert</w:t>
      </w:r>
      <w:proofErr w:type="spellEnd"/>
      <w:r>
        <w:rPr>
          <w:color w:val="000000"/>
          <w:sz w:val="20"/>
          <w:szCs w:val="20"/>
        </w:rPr>
        <w:t>, R., &amp; Weston, J. (2008, July).</w:t>
      </w:r>
      <w:proofErr w:type="gramEnd"/>
      <w:r>
        <w:rPr>
          <w:color w:val="000000"/>
          <w:sz w:val="20"/>
          <w:szCs w:val="20"/>
        </w:rPr>
        <w:t xml:space="preserve"> A unified architecture for natural language processing: Deep neural networks with multitask learning. </w:t>
      </w:r>
      <w:proofErr w:type="gramStart"/>
      <w:r>
        <w:rPr>
          <w:color w:val="000000"/>
          <w:sz w:val="20"/>
          <w:szCs w:val="20"/>
        </w:rPr>
        <w:t>In Proceedings of the 25th international conference on Machine learning (pp. 160-167).</w:t>
      </w:r>
      <w:proofErr w:type="gramEnd"/>
      <w:r>
        <w:rPr>
          <w:color w:val="000000"/>
          <w:sz w:val="20"/>
          <w:szCs w:val="20"/>
        </w:rPr>
        <w:t xml:space="preserve"> </w:t>
      </w:r>
      <w:proofErr w:type="gramStart"/>
      <w:r>
        <w:rPr>
          <w:color w:val="000000"/>
          <w:sz w:val="20"/>
          <w:szCs w:val="20"/>
        </w:rPr>
        <w:t>ACM.</w:t>
      </w:r>
      <w:proofErr w:type="gramEnd"/>
    </w:p>
    <w:p w:rsidR="009B7376" w:rsidRDefault="009B7376" w:rsidP="009B7376">
      <w:pPr>
        <w:pStyle w:val="NormalWeb"/>
        <w:spacing w:before="0" w:beforeAutospacing="0" w:after="0" w:afterAutospacing="0"/>
        <w:rPr>
          <w:rFonts w:ascii="Georgia" w:hAnsi="Georgia"/>
        </w:rPr>
      </w:pPr>
      <w:proofErr w:type="gramStart"/>
      <w:r>
        <w:rPr>
          <w:color w:val="000000"/>
          <w:sz w:val="20"/>
          <w:szCs w:val="20"/>
        </w:rPr>
        <w:t xml:space="preserve">Kenny, P., Hartholt, A., </w:t>
      </w:r>
      <w:proofErr w:type="spellStart"/>
      <w:r>
        <w:rPr>
          <w:color w:val="000000"/>
          <w:sz w:val="20"/>
          <w:szCs w:val="20"/>
        </w:rPr>
        <w:t>Gratch</w:t>
      </w:r>
      <w:proofErr w:type="spellEnd"/>
      <w:r>
        <w:rPr>
          <w:color w:val="000000"/>
          <w:sz w:val="20"/>
          <w:szCs w:val="20"/>
        </w:rPr>
        <w:t xml:space="preserve">, J., Swartout, W., Traum, D., Marsella, S., &amp; </w:t>
      </w:r>
      <w:proofErr w:type="spellStart"/>
      <w:r>
        <w:rPr>
          <w:color w:val="000000"/>
          <w:sz w:val="20"/>
          <w:szCs w:val="20"/>
        </w:rPr>
        <w:t>Piepol</w:t>
      </w:r>
      <w:proofErr w:type="spellEnd"/>
      <w:r>
        <w:rPr>
          <w:color w:val="000000"/>
          <w:sz w:val="20"/>
          <w:szCs w:val="20"/>
        </w:rPr>
        <w:t>, D. (2007, November).</w:t>
      </w:r>
      <w:proofErr w:type="gramEnd"/>
      <w:r>
        <w:rPr>
          <w:color w:val="000000"/>
          <w:sz w:val="20"/>
          <w:szCs w:val="20"/>
        </w:rPr>
        <w:t xml:space="preserve"> </w:t>
      </w:r>
      <w:proofErr w:type="gramStart"/>
      <w:r>
        <w:rPr>
          <w:color w:val="000000"/>
          <w:sz w:val="20"/>
          <w:szCs w:val="20"/>
        </w:rPr>
        <w:t>Building interactive virtual humans for training environments.</w:t>
      </w:r>
      <w:proofErr w:type="gramEnd"/>
      <w:r>
        <w:rPr>
          <w:color w:val="000000"/>
          <w:sz w:val="20"/>
          <w:szCs w:val="20"/>
        </w:rPr>
        <w:t xml:space="preserve"> </w:t>
      </w:r>
      <w:proofErr w:type="gramStart"/>
      <w:r>
        <w:rPr>
          <w:color w:val="000000"/>
          <w:sz w:val="20"/>
          <w:szCs w:val="20"/>
        </w:rPr>
        <w:t>In Proceedings of i/</w:t>
      </w:r>
      <w:proofErr w:type="spellStart"/>
      <w:r>
        <w:rPr>
          <w:color w:val="000000"/>
          <w:sz w:val="20"/>
          <w:szCs w:val="20"/>
        </w:rPr>
        <w:t>itsec</w:t>
      </w:r>
      <w:proofErr w:type="spellEnd"/>
      <w:r>
        <w:rPr>
          <w:color w:val="000000"/>
          <w:sz w:val="20"/>
          <w:szCs w:val="20"/>
        </w:rPr>
        <w:t xml:space="preserve"> (Vol. 174).</w:t>
      </w:r>
      <w:proofErr w:type="gramEnd"/>
    </w:p>
    <w:p w:rsidR="009B7376" w:rsidRDefault="009B7376" w:rsidP="009B7376">
      <w:pPr>
        <w:pStyle w:val="NormalWeb"/>
        <w:spacing w:before="0" w:beforeAutospacing="0" w:after="0" w:afterAutospacing="0"/>
        <w:rPr>
          <w:rFonts w:ascii="Georgia" w:hAnsi="Georgia"/>
        </w:rPr>
      </w:pPr>
      <w:r>
        <w:rPr>
          <w:color w:val="000000"/>
          <w:sz w:val="20"/>
          <w:szCs w:val="20"/>
        </w:rPr>
        <w:t xml:space="preserve">Lee, K. F. (1988). Automatic speech recognition: the development of the SPHINX system (Vol. 62). </w:t>
      </w:r>
      <w:proofErr w:type="gramStart"/>
      <w:r>
        <w:rPr>
          <w:color w:val="000000"/>
          <w:sz w:val="20"/>
          <w:szCs w:val="20"/>
        </w:rPr>
        <w:t>Springer Science &amp; Business Media.</w:t>
      </w:r>
      <w:proofErr w:type="gramEnd"/>
    </w:p>
    <w:p w:rsidR="009B7376" w:rsidRDefault="009B7376" w:rsidP="009B7376">
      <w:pPr>
        <w:pStyle w:val="NormalWeb"/>
        <w:spacing w:before="0" w:beforeAutospacing="0" w:after="0" w:afterAutospacing="0"/>
        <w:rPr>
          <w:rFonts w:ascii="Georgia" w:hAnsi="Georgia"/>
        </w:rPr>
      </w:pPr>
      <w:r>
        <w:rPr>
          <w:color w:val="000000"/>
          <w:sz w:val="20"/>
          <w:szCs w:val="20"/>
        </w:rPr>
        <w:t xml:space="preserve">Rizzo, A., Lange, B., </w:t>
      </w:r>
      <w:proofErr w:type="spellStart"/>
      <w:r>
        <w:rPr>
          <w:color w:val="000000"/>
          <w:sz w:val="20"/>
          <w:szCs w:val="20"/>
        </w:rPr>
        <w:t>Buckwalter</w:t>
      </w:r>
      <w:proofErr w:type="spellEnd"/>
      <w:r>
        <w:rPr>
          <w:color w:val="000000"/>
          <w:sz w:val="20"/>
          <w:szCs w:val="20"/>
        </w:rPr>
        <w:t xml:space="preserve">, J. G., </w:t>
      </w:r>
      <w:proofErr w:type="spellStart"/>
      <w:r>
        <w:rPr>
          <w:color w:val="000000"/>
          <w:sz w:val="20"/>
          <w:szCs w:val="20"/>
        </w:rPr>
        <w:t>Forbell</w:t>
      </w:r>
      <w:proofErr w:type="spellEnd"/>
      <w:r>
        <w:rPr>
          <w:color w:val="000000"/>
          <w:sz w:val="20"/>
          <w:szCs w:val="20"/>
        </w:rPr>
        <w:t xml:space="preserve">, E., Kim, J., </w:t>
      </w:r>
      <w:proofErr w:type="spellStart"/>
      <w:r>
        <w:rPr>
          <w:color w:val="000000"/>
          <w:sz w:val="20"/>
          <w:szCs w:val="20"/>
        </w:rPr>
        <w:t>Sagae</w:t>
      </w:r>
      <w:proofErr w:type="spellEnd"/>
      <w:r>
        <w:rPr>
          <w:color w:val="000000"/>
          <w:sz w:val="20"/>
          <w:szCs w:val="20"/>
        </w:rPr>
        <w:t>, K</w:t>
      </w:r>
      <w:proofErr w:type="gramStart"/>
      <w:r>
        <w:rPr>
          <w:color w:val="000000"/>
          <w:sz w:val="20"/>
          <w:szCs w:val="20"/>
        </w:rPr>
        <w:t>., ...</w:t>
      </w:r>
      <w:proofErr w:type="gramEnd"/>
      <w:r>
        <w:rPr>
          <w:color w:val="000000"/>
          <w:sz w:val="20"/>
          <w:szCs w:val="20"/>
        </w:rPr>
        <w:t xml:space="preserve"> &amp; Parsons, T. (2011). SimCoach: an intelligent virtual human system for providing healthcare information and support. International Journal on Disability and Human Development, 10(4), 277-281.</w:t>
      </w:r>
    </w:p>
    <w:p w:rsidR="009B7376" w:rsidRDefault="009B7376" w:rsidP="009B7376">
      <w:pPr>
        <w:pStyle w:val="NormalWeb"/>
        <w:spacing w:before="0" w:beforeAutospacing="0" w:after="0" w:afterAutospacing="0"/>
        <w:rPr>
          <w:rFonts w:ascii="Georgia" w:hAnsi="Georgia"/>
        </w:rPr>
      </w:pPr>
      <w:proofErr w:type="spellStart"/>
      <w:proofErr w:type="gramStart"/>
      <w:r>
        <w:rPr>
          <w:color w:val="000000"/>
          <w:sz w:val="20"/>
          <w:szCs w:val="20"/>
        </w:rPr>
        <w:t>Satori</w:t>
      </w:r>
      <w:proofErr w:type="spellEnd"/>
      <w:r>
        <w:rPr>
          <w:color w:val="000000"/>
          <w:sz w:val="20"/>
          <w:szCs w:val="20"/>
        </w:rPr>
        <w:t xml:space="preserve">, H, </w:t>
      </w:r>
      <w:proofErr w:type="spellStart"/>
      <w:r>
        <w:rPr>
          <w:color w:val="000000"/>
          <w:sz w:val="20"/>
          <w:szCs w:val="20"/>
        </w:rPr>
        <w:t>Harti</w:t>
      </w:r>
      <w:proofErr w:type="spellEnd"/>
      <w:r>
        <w:rPr>
          <w:color w:val="000000"/>
          <w:sz w:val="20"/>
          <w:szCs w:val="20"/>
        </w:rPr>
        <w:t xml:space="preserve">, M., &amp; </w:t>
      </w:r>
      <w:proofErr w:type="spellStart"/>
      <w:r>
        <w:rPr>
          <w:color w:val="000000"/>
          <w:sz w:val="20"/>
          <w:szCs w:val="20"/>
        </w:rPr>
        <w:t>Chenfour</w:t>
      </w:r>
      <w:proofErr w:type="spellEnd"/>
      <w:r>
        <w:rPr>
          <w:color w:val="000000"/>
          <w:sz w:val="20"/>
          <w:szCs w:val="20"/>
        </w:rPr>
        <w:t>, N. (2007).</w:t>
      </w:r>
      <w:proofErr w:type="gramEnd"/>
      <w:r>
        <w:rPr>
          <w:color w:val="000000"/>
          <w:sz w:val="20"/>
          <w:szCs w:val="20"/>
        </w:rPr>
        <w:t xml:space="preserve"> </w:t>
      </w:r>
      <w:proofErr w:type="gramStart"/>
      <w:r>
        <w:rPr>
          <w:color w:val="000000"/>
          <w:sz w:val="20"/>
          <w:szCs w:val="20"/>
        </w:rPr>
        <w:t xml:space="preserve">Introduction to Arabic speech recognition using </w:t>
      </w:r>
      <w:proofErr w:type="spellStart"/>
      <w:r>
        <w:rPr>
          <w:color w:val="000000"/>
          <w:sz w:val="20"/>
          <w:szCs w:val="20"/>
        </w:rPr>
        <w:t>CMUSphinx</w:t>
      </w:r>
      <w:proofErr w:type="spellEnd"/>
      <w:r>
        <w:rPr>
          <w:color w:val="000000"/>
          <w:sz w:val="20"/>
          <w:szCs w:val="20"/>
        </w:rPr>
        <w:t xml:space="preserve"> system.</w:t>
      </w:r>
      <w:proofErr w:type="gramEnd"/>
      <w:r>
        <w:rPr>
          <w:color w:val="000000"/>
          <w:sz w:val="20"/>
          <w:szCs w:val="20"/>
        </w:rPr>
        <w:t xml:space="preserve"> </w:t>
      </w:r>
      <w:proofErr w:type="spellStart"/>
      <w:proofErr w:type="gramStart"/>
      <w:r>
        <w:rPr>
          <w:color w:val="000000"/>
          <w:sz w:val="20"/>
          <w:szCs w:val="20"/>
        </w:rPr>
        <w:t>arXiv</w:t>
      </w:r>
      <w:proofErr w:type="spellEnd"/>
      <w:proofErr w:type="gramEnd"/>
      <w:r>
        <w:rPr>
          <w:color w:val="000000"/>
          <w:sz w:val="20"/>
          <w:szCs w:val="20"/>
        </w:rPr>
        <w:t xml:space="preserve"> preprint arXiv:0704.2083.</w:t>
      </w:r>
    </w:p>
    <w:p w:rsidR="009B7376" w:rsidRDefault="009B7376" w:rsidP="009B7376">
      <w:pPr>
        <w:pStyle w:val="NormalWeb"/>
        <w:spacing w:before="0" w:beforeAutospacing="0" w:after="0" w:afterAutospacing="0"/>
        <w:rPr>
          <w:rFonts w:ascii="Georgia" w:hAnsi="Georgia"/>
        </w:rPr>
      </w:pPr>
      <w:r>
        <w:rPr>
          <w:color w:val="000000"/>
          <w:sz w:val="20"/>
          <w:szCs w:val="20"/>
        </w:rPr>
        <w:t xml:space="preserve">Swartout, W. R., </w:t>
      </w:r>
      <w:proofErr w:type="spellStart"/>
      <w:r>
        <w:rPr>
          <w:color w:val="000000"/>
          <w:sz w:val="20"/>
          <w:szCs w:val="20"/>
        </w:rPr>
        <w:t>Gratch</w:t>
      </w:r>
      <w:proofErr w:type="spellEnd"/>
      <w:r>
        <w:rPr>
          <w:color w:val="000000"/>
          <w:sz w:val="20"/>
          <w:szCs w:val="20"/>
        </w:rPr>
        <w:t xml:space="preserve">, J., Hill </w:t>
      </w:r>
      <w:proofErr w:type="spellStart"/>
      <w:r>
        <w:rPr>
          <w:color w:val="000000"/>
          <w:sz w:val="20"/>
          <w:szCs w:val="20"/>
        </w:rPr>
        <w:t>Jr</w:t>
      </w:r>
      <w:proofErr w:type="spellEnd"/>
      <w:r>
        <w:rPr>
          <w:color w:val="000000"/>
          <w:sz w:val="20"/>
          <w:szCs w:val="20"/>
        </w:rPr>
        <w:t xml:space="preserve">, R W., Hovy, E., Marsella, S., </w:t>
      </w:r>
      <w:proofErr w:type="spellStart"/>
      <w:r>
        <w:rPr>
          <w:color w:val="000000"/>
          <w:sz w:val="20"/>
          <w:szCs w:val="20"/>
        </w:rPr>
        <w:t>Rickel</w:t>
      </w:r>
      <w:proofErr w:type="spellEnd"/>
      <w:r>
        <w:rPr>
          <w:color w:val="000000"/>
          <w:sz w:val="20"/>
          <w:szCs w:val="20"/>
        </w:rPr>
        <w:t xml:space="preserve">, J., &amp; Traum, D. (2006). </w:t>
      </w:r>
      <w:proofErr w:type="gramStart"/>
      <w:r>
        <w:rPr>
          <w:color w:val="000000"/>
          <w:sz w:val="20"/>
          <w:szCs w:val="20"/>
        </w:rPr>
        <w:t>Toward virtual humans.</w:t>
      </w:r>
      <w:proofErr w:type="gramEnd"/>
      <w:r>
        <w:rPr>
          <w:color w:val="000000"/>
          <w:sz w:val="20"/>
          <w:szCs w:val="20"/>
        </w:rPr>
        <w:t xml:space="preserve"> AI Magazine, 27(2), 96.</w:t>
      </w:r>
    </w:p>
    <w:p w:rsidR="009B7376" w:rsidRDefault="009B7376" w:rsidP="009B7376">
      <w:pPr>
        <w:pStyle w:val="NormalWeb"/>
        <w:spacing w:before="0" w:beforeAutospacing="0" w:after="0" w:afterAutospacing="0"/>
        <w:rPr>
          <w:rFonts w:ascii="Georgia" w:hAnsi="Georgia"/>
        </w:rPr>
      </w:pPr>
      <w:r>
        <w:rPr>
          <w:color w:val="000000"/>
          <w:sz w:val="20"/>
          <w:szCs w:val="20"/>
        </w:rPr>
        <w:t>Swartout, W. R., Nye, B. D., Hartholt, A., Reilly, A., Graesser, A. C., VanLehn, K</w:t>
      </w:r>
      <w:proofErr w:type="gramStart"/>
      <w:r>
        <w:rPr>
          <w:color w:val="000000"/>
          <w:sz w:val="20"/>
          <w:szCs w:val="20"/>
        </w:rPr>
        <w:t>., ...</w:t>
      </w:r>
      <w:proofErr w:type="gramEnd"/>
      <w:r>
        <w:rPr>
          <w:color w:val="000000"/>
          <w:sz w:val="20"/>
          <w:szCs w:val="20"/>
        </w:rPr>
        <w:t xml:space="preserve"> &amp; Wang, L. (2016, March). </w:t>
      </w:r>
      <w:proofErr w:type="gramStart"/>
      <w:r>
        <w:rPr>
          <w:color w:val="000000"/>
          <w:sz w:val="20"/>
          <w:szCs w:val="20"/>
        </w:rPr>
        <w:t>Designing a Personal Assistant for Life-Long Learning (PAL3).</w:t>
      </w:r>
      <w:proofErr w:type="gramEnd"/>
      <w:r>
        <w:rPr>
          <w:color w:val="000000"/>
          <w:sz w:val="20"/>
          <w:szCs w:val="20"/>
        </w:rPr>
        <w:t xml:space="preserve"> </w:t>
      </w:r>
      <w:proofErr w:type="gramStart"/>
      <w:r>
        <w:rPr>
          <w:color w:val="000000"/>
          <w:sz w:val="20"/>
          <w:szCs w:val="20"/>
        </w:rPr>
        <w:t>In The Twenty-Ninth International Flairs Conference.</w:t>
      </w:r>
      <w:proofErr w:type="gramEnd"/>
    </w:p>
    <w:p w:rsidR="009B7376" w:rsidRDefault="009B7376" w:rsidP="009B7376">
      <w:pPr>
        <w:pStyle w:val="NormalWeb"/>
        <w:spacing w:before="0" w:beforeAutospacing="0" w:after="0" w:afterAutospacing="0"/>
        <w:rPr>
          <w:rFonts w:ascii="Georgia" w:hAnsi="Georgia"/>
        </w:rPr>
      </w:pPr>
      <w:r>
        <w:rPr>
          <w:color w:val="000000"/>
          <w:sz w:val="20"/>
          <w:szCs w:val="20"/>
        </w:rPr>
        <w:t>Traum, D., Jones, A., Hays, K., Maio, H., Alexander, O., Artstein, R</w:t>
      </w:r>
      <w:proofErr w:type="gramStart"/>
      <w:r>
        <w:rPr>
          <w:color w:val="000000"/>
          <w:sz w:val="20"/>
          <w:szCs w:val="20"/>
        </w:rPr>
        <w:t>., ...</w:t>
      </w:r>
      <w:proofErr w:type="gramEnd"/>
      <w:r>
        <w:rPr>
          <w:color w:val="000000"/>
          <w:sz w:val="20"/>
          <w:szCs w:val="20"/>
        </w:rPr>
        <w:t xml:space="preserve"> &amp; Jungblut, K. (2015, November). New Dimensions in Testimony: Digitally preserving a Holocaust survivor’s interactive storytelling. </w:t>
      </w:r>
      <w:proofErr w:type="gramStart"/>
      <w:r>
        <w:rPr>
          <w:color w:val="000000"/>
          <w:sz w:val="20"/>
          <w:szCs w:val="20"/>
        </w:rPr>
        <w:t>In International Conference on Interactive Digital Storytelling (pp. 269-281).</w:t>
      </w:r>
      <w:proofErr w:type="gramEnd"/>
      <w:r>
        <w:rPr>
          <w:color w:val="000000"/>
          <w:sz w:val="20"/>
          <w:szCs w:val="20"/>
        </w:rPr>
        <w:t xml:space="preserve"> </w:t>
      </w:r>
      <w:proofErr w:type="gramStart"/>
      <w:r>
        <w:rPr>
          <w:color w:val="000000"/>
          <w:sz w:val="20"/>
          <w:szCs w:val="20"/>
        </w:rPr>
        <w:t>Springer International Publishing.</w:t>
      </w:r>
      <w:proofErr w:type="gramEnd"/>
    </w:p>
    <w:p w:rsidR="009B7376" w:rsidRDefault="009B7376" w:rsidP="009B7376">
      <w:pPr>
        <w:pStyle w:val="NormalWeb"/>
        <w:spacing w:before="0" w:beforeAutospacing="0" w:after="0" w:afterAutospacing="0"/>
        <w:rPr>
          <w:rFonts w:ascii="Georgia" w:hAnsi="Georgia"/>
        </w:rPr>
      </w:pPr>
      <w:r>
        <w:rPr>
          <w:color w:val="000000"/>
          <w:sz w:val="20"/>
          <w:szCs w:val="20"/>
        </w:rPr>
        <w:t>Traum, D., Jones, A., Hays, K., Maio, H., Alexander, O., Artstein, R</w:t>
      </w:r>
      <w:proofErr w:type="gramStart"/>
      <w:r>
        <w:rPr>
          <w:color w:val="000000"/>
          <w:sz w:val="20"/>
          <w:szCs w:val="20"/>
        </w:rPr>
        <w:t>., ...</w:t>
      </w:r>
      <w:proofErr w:type="gramEnd"/>
      <w:r>
        <w:rPr>
          <w:color w:val="000000"/>
          <w:sz w:val="20"/>
          <w:szCs w:val="20"/>
        </w:rPr>
        <w:t xml:space="preserve"> &amp; Jungblut, K. (2015, November). New Dimensions in Testimony: Digitally preserving a Holocaust survivor’s interactive storytelling. </w:t>
      </w:r>
      <w:proofErr w:type="gramStart"/>
      <w:r>
        <w:rPr>
          <w:color w:val="000000"/>
          <w:sz w:val="20"/>
          <w:szCs w:val="20"/>
        </w:rPr>
        <w:t>In International Conference on Interactive Digital Storytelling (pp. 269-281).</w:t>
      </w:r>
      <w:proofErr w:type="gramEnd"/>
      <w:r>
        <w:rPr>
          <w:color w:val="000000"/>
          <w:sz w:val="20"/>
          <w:szCs w:val="20"/>
        </w:rPr>
        <w:t xml:space="preserve"> </w:t>
      </w:r>
      <w:proofErr w:type="gramStart"/>
      <w:r>
        <w:rPr>
          <w:color w:val="000000"/>
          <w:sz w:val="20"/>
          <w:szCs w:val="20"/>
        </w:rPr>
        <w:t>Springer International Publishing.</w:t>
      </w:r>
      <w:proofErr w:type="gramEnd"/>
    </w:p>
    <w:p w:rsidR="009B7376" w:rsidRDefault="009B7376" w:rsidP="009B7376">
      <w:pPr>
        <w:pStyle w:val="NormalWeb"/>
        <w:spacing w:before="0" w:beforeAutospacing="0" w:after="0" w:afterAutospacing="0"/>
        <w:rPr>
          <w:rFonts w:ascii="Georgia" w:hAnsi="Georgia"/>
        </w:rPr>
      </w:pPr>
      <w:proofErr w:type="gramStart"/>
      <w:r>
        <w:rPr>
          <w:color w:val="000000"/>
          <w:sz w:val="20"/>
          <w:szCs w:val="20"/>
        </w:rPr>
        <w:t xml:space="preserve">Traum, D., &amp; </w:t>
      </w:r>
      <w:proofErr w:type="spellStart"/>
      <w:r>
        <w:rPr>
          <w:color w:val="000000"/>
          <w:sz w:val="20"/>
          <w:szCs w:val="20"/>
        </w:rPr>
        <w:t>Rickel</w:t>
      </w:r>
      <w:proofErr w:type="spellEnd"/>
      <w:r>
        <w:rPr>
          <w:color w:val="000000"/>
          <w:sz w:val="20"/>
          <w:szCs w:val="20"/>
        </w:rPr>
        <w:t>, J. (2002, July).</w:t>
      </w:r>
      <w:proofErr w:type="gramEnd"/>
      <w:r>
        <w:rPr>
          <w:color w:val="000000"/>
          <w:sz w:val="20"/>
          <w:szCs w:val="20"/>
        </w:rPr>
        <w:t xml:space="preserve"> </w:t>
      </w:r>
      <w:proofErr w:type="gramStart"/>
      <w:r>
        <w:rPr>
          <w:color w:val="000000"/>
          <w:sz w:val="20"/>
          <w:szCs w:val="20"/>
        </w:rPr>
        <w:t>Embodied agents for multi-party dialogue in immersive virtual worlds.</w:t>
      </w:r>
      <w:proofErr w:type="gramEnd"/>
      <w:r>
        <w:rPr>
          <w:color w:val="000000"/>
          <w:sz w:val="20"/>
          <w:szCs w:val="20"/>
        </w:rPr>
        <w:t xml:space="preserve"> In Proceedings of the first international joint conference on Autonomous agents and </w:t>
      </w:r>
      <w:proofErr w:type="spellStart"/>
      <w:r>
        <w:rPr>
          <w:color w:val="000000"/>
          <w:sz w:val="20"/>
          <w:szCs w:val="20"/>
        </w:rPr>
        <w:t>multiagent</w:t>
      </w:r>
      <w:proofErr w:type="spellEnd"/>
      <w:r>
        <w:rPr>
          <w:color w:val="000000"/>
          <w:sz w:val="20"/>
          <w:szCs w:val="20"/>
        </w:rPr>
        <w:t xml:space="preserve"> systems: part 2 (pp. 766-773). </w:t>
      </w:r>
      <w:proofErr w:type="gramStart"/>
      <w:r>
        <w:rPr>
          <w:color w:val="000000"/>
          <w:sz w:val="20"/>
          <w:szCs w:val="20"/>
        </w:rPr>
        <w:t>ACM.</w:t>
      </w:r>
      <w:proofErr w:type="gramEnd"/>
    </w:p>
    <w:p w:rsidR="009B7376" w:rsidRDefault="009B7376" w:rsidP="009B7376">
      <w:pPr>
        <w:pStyle w:val="NormalWeb"/>
        <w:spacing w:before="0" w:beforeAutospacing="0" w:after="0" w:afterAutospacing="0"/>
        <w:jc w:val="center"/>
        <w:rPr>
          <w:rFonts w:ascii="Georgia" w:hAnsi="Georgia"/>
        </w:rPr>
      </w:pPr>
      <w:r>
        <w:rPr>
          <w:i/>
          <w:iCs/>
          <w:color w:val="000000"/>
          <w:sz w:val="20"/>
          <w:szCs w:val="20"/>
        </w:rPr>
        <w:t>Quantum Annealing/Deep Learning for Virtual Humans</w:t>
      </w:r>
    </w:p>
    <w:p w:rsidR="009B7376" w:rsidRDefault="009B7376" w:rsidP="009B7376">
      <w:pPr>
        <w:pStyle w:val="NormalWeb"/>
        <w:spacing w:before="0" w:beforeAutospacing="0" w:after="0" w:afterAutospacing="0"/>
        <w:rPr>
          <w:rFonts w:ascii="Georgia" w:hAnsi="Georgia"/>
        </w:rPr>
      </w:pPr>
      <w:r>
        <w:rPr>
          <w:color w:val="000000"/>
          <w:sz w:val="20"/>
          <w:szCs w:val="20"/>
        </w:rPr>
        <w:t>A virtual human is a virtual reality creation in which an avatar is created, often based on a real person, and attempts to recreate the appearance, voice, feel, and interaction that a live human would produce. With the advancement of several new technologies, including but not limited to natural language processing, virtual reality (VR), computer generated imagery (CGI), machine learning, and virtual learning, the uses, as well as the limits of virtual humans, are becoming evident. As a premier research institute with specialization in virtual affairs, the Institute for Creative Technologies (ICT) provides a home for myriad projects which consider virtual reality to be their primary focus. Researchers at ICT have developed with this purpose in mind and generated SimCoach, New Dimensions in Testimony (NDT), PAL3, and others generalized under learning sciences, medical VR, mixed reality, narrative, social stimulation, virtual humans, and vision and graphics. The field of knowledge available here is immense, and we utilized countless resources in earning expertise in the promising field that comprises virtual humans.</w:t>
      </w:r>
    </w:p>
    <w:p w:rsidR="009B7376" w:rsidRDefault="009B7376" w:rsidP="009B7376">
      <w:pPr>
        <w:pStyle w:val="NormalWeb"/>
        <w:spacing w:before="0" w:beforeAutospacing="0" w:after="0" w:afterAutospacing="0"/>
        <w:rPr>
          <w:rFonts w:ascii="Georgia" w:hAnsi="Georgia"/>
        </w:rPr>
      </w:pPr>
      <w:r>
        <w:rPr>
          <w:color w:val="000000"/>
          <w:sz w:val="20"/>
          <w:szCs w:val="20"/>
        </w:rPr>
        <w:t>Although a virtual human seems as simple as taking remodeling a human using CGI, it turns out that it takes much more brain power-and computing power-to do so effectively. The essential elements that go into the creation of a virtual human with lifelike abilities include natural language processing, machine learning, VR, CGI, and social stimulation. Natural language processing (NLP</w:t>
      </w:r>
      <w:proofErr w:type="gramStart"/>
      <w:r>
        <w:rPr>
          <w:color w:val="000000"/>
          <w:sz w:val="20"/>
          <w:szCs w:val="20"/>
        </w:rPr>
        <w:t>),</w:t>
      </w:r>
      <w:proofErr w:type="gramEnd"/>
      <w:r>
        <w:rPr>
          <w:color w:val="000000"/>
          <w:sz w:val="20"/>
          <w:szCs w:val="20"/>
        </w:rPr>
        <w:t xml:space="preserve"> will be the main focus of this discussion, though the same argument concerning the limits of virtual humans can be made with several of the other components. Natural language processing composes “an area of research and application that explores how computers can be used to understand and manipulate natural language text or speech to do useful things” (</w:t>
      </w:r>
      <w:proofErr w:type="spellStart"/>
      <w:r>
        <w:rPr>
          <w:color w:val="000000"/>
          <w:sz w:val="20"/>
          <w:szCs w:val="20"/>
        </w:rPr>
        <w:t>Chowdhury</w:t>
      </w:r>
      <w:proofErr w:type="spellEnd"/>
      <w:r>
        <w:rPr>
          <w:color w:val="000000"/>
          <w:sz w:val="20"/>
          <w:szCs w:val="20"/>
        </w:rPr>
        <w:t xml:space="preserve">, G. G. (2003)). Using this definition within the context of virtual environments, NLP tools allow computer technology to recognize voice input, analyze voice tone, provide lifelike conversation, retrieve information, and many other applications in combination with machine learning. Recent developments in NLP have made amazing bounds like “a single </w:t>
      </w:r>
      <w:proofErr w:type="spellStart"/>
      <w:r>
        <w:rPr>
          <w:color w:val="000000"/>
          <w:sz w:val="20"/>
          <w:szCs w:val="20"/>
        </w:rPr>
        <w:lastRenderedPageBreak/>
        <w:t>convolutional</w:t>
      </w:r>
      <w:proofErr w:type="spellEnd"/>
      <w:r>
        <w:rPr>
          <w:color w:val="000000"/>
          <w:sz w:val="20"/>
          <w:szCs w:val="20"/>
        </w:rPr>
        <w:t xml:space="preserve"> neural network architecture that, given a sentence, outputs a host of language processing predictions: part-of-speech tags, chunks, named entity tags, semantic roles, semantically similar words and the likelihood that the sentence makes sense (grammatically and semantically) using a language model” (</w:t>
      </w:r>
      <w:proofErr w:type="spellStart"/>
      <w:r>
        <w:rPr>
          <w:color w:val="000000"/>
          <w:sz w:val="20"/>
          <w:szCs w:val="20"/>
        </w:rPr>
        <w:t>Collobert</w:t>
      </w:r>
      <w:proofErr w:type="spellEnd"/>
      <w:r>
        <w:rPr>
          <w:color w:val="000000"/>
          <w:sz w:val="20"/>
          <w:szCs w:val="20"/>
        </w:rPr>
        <w:t xml:space="preserve">, R., &amp; Weston, J. (2008, July)). The </w:t>
      </w:r>
      <w:proofErr w:type="gramStart"/>
      <w:r>
        <w:rPr>
          <w:color w:val="000000"/>
          <w:sz w:val="20"/>
          <w:szCs w:val="20"/>
        </w:rPr>
        <w:t>multitude of applications through interpretation of language have</w:t>
      </w:r>
      <w:proofErr w:type="gramEnd"/>
      <w:r>
        <w:rPr>
          <w:color w:val="000000"/>
          <w:sz w:val="20"/>
          <w:szCs w:val="20"/>
        </w:rPr>
        <w:t xml:space="preserve"> been quickly advanced by the many researchers focusing their studies on the field. At ICT alone, progress has been made in training/learning environments (Kenny, P. et al. (2007, November)), multi-party dialogue (Traum, D., &amp; </w:t>
      </w:r>
      <w:proofErr w:type="spellStart"/>
      <w:r>
        <w:rPr>
          <w:color w:val="000000"/>
          <w:sz w:val="20"/>
          <w:szCs w:val="20"/>
        </w:rPr>
        <w:t>Rickel</w:t>
      </w:r>
      <w:proofErr w:type="spellEnd"/>
      <w:r>
        <w:rPr>
          <w:color w:val="000000"/>
          <w:sz w:val="20"/>
          <w:szCs w:val="20"/>
        </w:rPr>
        <w:t>, J. (2002, July)), ethics and cooperation (</w:t>
      </w:r>
      <w:proofErr w:type="spellStart"/>
      <w:r>
        <w:rPr>
          <w:color w:val="000000"/>
          <w:sz w:val="20"/>
          <w:szCs w:val="20"/>
        </w:rPr>
        <w:t>Allwood</w:t>
      </w:r>
      <w:proofErr w:type="spellEnd"/>
      <w:r>
        <w:rPr>
          <w:color w:val="000000"/>
          <w:sz w:val="20"/>
          <w:szCs w:val="20"/>
        </w:rPr>
        <w:t xml:space="preserve">, J., Traum, D., &amp; </w:t>
      </w:r>
      <w:proofErr w:type="spellStart"/>
      <w:r>
        <w:rPr>
          <w:color w:val="000000"/>
          <w:sz w:val="20"/>
          <w:szCs w:val="20"/>
        </w:rPr>
        <w:t>Jokinen</w:t>
      </w:r>
      <w:proofErr w:type="spellEnd"/>
      <w:r>
        <w:rPr>
          <w:color w:val="000000"/>
          <w:sz w:val="20"/>
          <w:szCs w:val="20"/>
        </w:rPr>
        <w:t>, K. (2000)), health applications (Rizzo, A. et al. (2011)), and representation and reasoning (Swartout, W. R. et al. (2006)). Although automated speech recognition (ASR) is far from perfect, some of the best software, “Google achieved 73.3% of exact recognized phrases with a 15.8% [Word Error Rate]” (</w:t>
      </w:r>
      <w:proofErr w:type="spellStart"/>
      <w:r>
        <w:rPr>
          <w:color w:val="000000"/>
          <w:sz w:val="20"/>
          <w:szCs w:val="20"/>
        </w:rPr>
        <w:t>Kudryavtsev</w:t>
      </w:r>
      <w:proofErr w:type="spellEnd"/>
      <w:r>
        <w:rPr>
          <w:color w:val="000000"/>
          <w:sz w:val="20"/>
          <w:szCs w:val="20"/>
        </w:rPr>
        <w:t>), and the technology will continue to improve. It is also important to note that many of the errors in ASR are caused by slurred speech, cultural slang, and context, stemming from a “lack of consistent units of speech that are trainable and relatively insensitive to context” (Lee, K. F. (1988)). Although this causes problems when comparing these transcriptions with global data, models can be trained locally to a particular person’s voice or a low resource language using software such as CMU Sphinx from Carnegie Mellon University as applied to languages such as Arabic (</w:t>
      </w:r>
      <w:proofErr w:type="spellStart"/>
      <w:r>
        <w:rPr>
          <w:color w:val="000000"/>
          <w:sz w:val="20"/>
          <w:szCs w:val="20"/>
        </w:rPr>
        <w:t>Satori</w:t>
      </w:r>
      <w:proofErr w:type="spellEnd"/>
      <w:r>
        <w:rPr>
          <w:color w:val="000000"/>
          <w:sz w:val="20"/>
          <w:szCs w:val="20"/>
        </w:rPr>
        <w:t xml:space="preserve">, H., </w:t>
      </w:r>
      <w:proofErr w:type="spellStart"/>
      <w:r>
        <w:rPr>
          <w:color w:val="000000"/>
          <w:sz w:val="20"/>
          <w:szCs w:val="20"/>
        </w:rPr>
        <w:t>Harti</w:t>
      </w:r>
      <w:proofErr w:type="spellEnd"/>
      <w:r>
        <w:rPr>
          <w:color w:val="000000"/>
          <w:sz w:val="20"/>
          <w:szCs w:val="20"/>
        </w:rPr>
        <w:t xml:space="preserve">, M., &amp; </w:t>
      </w:r>
      <w:proofErr w:type="spellStart"/>
      <w:r>
        <w:rPr>
          <w:color w:val="000000"/>
          <w:sz w:val="20"/>
          <w:szCs w:val="20"/>
        </w:rPr>
        <w:t>Chenfour</w:t>
      </w:r>
      <w:proofErr w:type="spellEnd"/>
      <w:r>
        <w:rPr>
          <w:color w:val="000000"/>
          <w:sz w:val="20"/>
          <w:szCs w:val="20"/>
        </w:rPr>
        <w:t>, N. (2007)). Although these customizations and build-your-own languages can be more accurate, they take time to implement and often require increased local processing power. The primary issues with natural language processing as it stands now include machine translation, precision, data storage, efficiency, and computation power-the focus of this paper. All of these will continue to improve with time, as hardware, software, and data storage and availability are areas within which research is eminent and directly valuable. Specifically, the speed and application of quantum computing will engender significant advancement in NLP and its applications: one of which is the impactful area of virtual humans.</w:t>
      </w:r>
    </w:p>
    <w:p w:rsidR="009B7376" w:rsidRDefault="009B7376" w:rsidP="009B7376">
      <w:pPr>
        <w:pStyle w:val="NormalWeb"/>
        <w:spacing w:before="0" w:beforeAutospacing="0" w:after="0" w:afterAutospacing="0"/>
        <w:rPr>
          <w:rFonts w:ascii="Georgia" w:hAnsi="Georgia"/>
        </w:rPr>
      </w:pPr>
      <w:r>
        <w:rPr>
          <w:color w:val="000000"/>
          <w:sz w:val="20"/>
          <w:szCs w:val="20"/>
        </w:rPr>
        <w:t xml:space="preserve">Virtual humans constitute-and will continue to constitute-a major role in virtual learning, virtual storytelling, VR/AR, and gaming. Within the military context, virtual learning environments provide useful mechanisms for initial training as well as lifelong training. An example of this in implementation can be found in PAL3; “the PAL3 system was designed to accompany a learner throughout their career and mentor them to build and maintain skills” (Swartout, W. R. et al. (2016, March)). Modern learning calls for new methods of information transfer. Online tools like Khan Academy, YouTube, </w:t>
      </w:r>
      <w:proofErr w:type="spellStart"/>
      <w:r>
        <w:rPr>
          <w:color w:val="000000"/>
          <w:sz w:val="20"/>
          <w:szCs w:val="20"/>
        </w:rPr>
        <w:t>Coursera</w:t>
      </w:r>
      <w:proofErr w:type="spellEnd"/>
      <w:r>
        <w:rPr>
          <w:color w:val="000000"/>
          <w:sz w:val="20"/>
          <w:szCs w:val="20"/>
        </w:rPr>
        <w:t xml:space="preserve">, Lynda, and other massive open online courses (MOOCs) are growing in popularity, and the trend does not seem to be slowing down. </w:t>
      </w:r>
    </w:p>
    <w:p w:rsidR="009B7376" w:rsidRDefault="009B7376" w:rsidP="009B7376">
      <w:pPr>
        <w:pStyle w:val="NormalWeb"/>
        <w:spacing w:before="0" w:beforeAutospacing="0" w:after="0" w:afterAutospacing="0"/>
        <w:rPr>
          <w:rFonts w:ascii="Georgia" w:hAnsi="Georgia"/>
        </w:rPr>
      </w:pPr>
      <w:r>
        <w:rPr>
          <w:color w:val="000000"/>
          <w:sz w:val="20"/>
          <w:szCs w:val="20"/>
        </w:rPr>
        <w:t>Storytelling and gaming are also important facets of the virtual field. The New Dimensions in Testimony project “allows people to have an interactive conversation with a human storyteller (a Holocaust survivor) who has recorded a number of dialogue contributions, including many compelling narratives of his experiences and thoughts” (Traum et al. (2015, November)). The project’s important mission of preserving the stories of Holocaust survivors can be applied to endless amounts of other important persons and tales. Advances in gaming allow for utilization in learning, entertainment, healthcare, and lifelike training for things like combat and critical thinking. The SimCoach system experience aims to “motivate users to take the first step – to empower themselves to seek advice and information regarding their healthcare” (Rizzo, A. et al. (2011)). These virtual systems have been shown to have more success, generating deeper levels of confidence with patients than even live healthcare interactions (Rizzo, A. et al. (2011)). The successes of these operations so far foreshadow abundant uses in the near future.</w:t>
      </w:r>
    </w:p>
    <w:p w:rsidR="009B7376" w:rsidRDefault="009B7376" w:rsidP="009B7376">
      <w:pPr>
        <w:pStyle w:val="NormalWeb"/>
        <w:spacing w:before="0" w:beforeAutospacing="0" w:after="0" w:afterAutospacing="0"/>
        <w:rPr>
          <w:rFonts w:ascii="Georgia" w:hAnsi="Georgia"/>
        </w:rPr>
      </w:pPr>
      <w:r>
        <w:rPr>
          <w:color w:val="000000"/>
          <w:sz w:val="20"/>
          <w:szCs w:val="20"/>
        </w:rPr>
        <w:t xml:space="preserve">The benefits of virtual environments include making the most skilled instructors and resources available, exciting and new learning environments, confidentiality, and global accessibility. Some of the negatives of virtual learning are the difficulties of personalizing learning, live question handling, different learning styles, and similar limits to NLP and other processor and data heavy systems. Future fields of focus will come in streamlining the creation of such virtual environments and interaction. For example, imagine a system which takes in a live recorded interview with a president, or other prominent or </w:t>
      </w:r>
      <w:proofErr w:type="spellStart"/>
      <w:r>
        <w:rPr>
          <w:color w:val="000000"/>
          <w:sz w:val="20"/>
          <w:szCs w:val="20"/>
        </w:rPr>
        <w:t>knowledgable</w:t>
      </w:r>
      <w:proofErr w:type="spellEnd"/>
      <w:r>
        <w:rPr>
          <w:color w:val="000000"/>
          <w:sz w:val="20"/>
          <w:szCs w:val="20"/>
        </w:rPr>
        <w:t xml:space="preserve"> figure, and generates an interactive environment in which a user can experience the interview by asking the questions themselves. </w:t>
      </w:r>
      <w:proofErr w:type="gramStart"/>
      <w:r>
        <w:rPr>
          <w:color w:val="000000"/>
          <w:sz w:val="20"/>
          <w:szCs w:val="20"/>
        </w:rPr>
        <w:t>Or a true virtual assistant that mitigates the need for a secretary.</w:t>
      </w:r>
      <w:proofErr w:type="gramEnd"/>
      <w:r>
        <w:rPr>
          <w:color w:val="000000"/>
          <w:sz w:val="20"/>
          <w:szCs w:val="20"/>
        </w:rPr>
        <w:t xml:space="preserve"> Such things are already in existence, and they will only become more prominent and powerful. However, the need for extensive processing power, efficiency, and data storage and transfer remains a limiting factor for such developments. We believe that the aforementioned applications call for considerable further exploration and research and propose a quantum annealing approach to deep learning its virtual applications.</w:t>
      </w:r>
    </w:p>
    <w:p w:rsidR="009B7376" w:rsidRDefault="009B7376" w:rsidP="009B7376">
      <w:pPr>
        <w:rPr>
          <w:rFonts w:ascii="Georgia" w:hAnsi="Georgia"/>
        </w:rPr>
      </w:pPr>
    </w:p>
    <w:p w:rsidR="009B7376" w:rsidRDefault="009B7376" w:rsidP="009B7376"/>
    <w:p w:rsidR="00D67A18" w:rsidRDefault="00D67A18"/>
    <w:sectPr w:rsidR="00D67A18" w:rsidSect="00D67A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defaultTabStop w:val="720"/>
  <w:characterSpacingControl w:val="doNotCompress"/>
  <w:compat/>
  <w:rsids>
    <w:rsidRoot w:val="009B7376"/>
    <w:rsid w:val="00001FF6"/>
    <w:rsid w:val="00002411"/>
    <w:rsid w:val="00020E9F"/>
    <w:rsid w:val="00025B70"/>
    <w:rsid w:val="00031C1E"/>
    <w:rsid w:val="00031E27"/>
    <w:rsid w:val="0003491A"/>
    <w:rsid w:val="00036811"/>
    <w:rsid w:val="000375AD"/>
    <w:rsid w:val="000527BD"/>
    <w:rsid w:val="00053376"/>
    <w:rsid w:val="000669B8"/>
    <w:rsid w:val="00076424"/>
    <w:rsid w:val="00077CC5"/>
    <w:rsid w:val="00081F8E"/>
    <w:rsid w:val="0009020E"/>
    <w:rsid w:val="000927A2"/>
    <w:rsid w:val="00093188"/>
    <w:rsid w:val="000A2828"/>
    <w:rsid w:val="000B19D0"/>
    <w:rsid w:val="000B7FE5"/>
    <w:rsid w:val="000C1B93"/>
    <w:rsid w:val="000C24A6"/>
    <w:rsid w:val="000D687D"/>
    <w:rsid w:val="000E45F6"/>
    <w:rsid w:val="000E7AA6"/>
    <w:rsid w:val="000F2C11"/>
    <w:rsid w:val="00103886"/>
    <w:rsid w:val="00104350"/>
    <w:rsid w:val="00114DF8"/>
    <w:rsid w:val="0012434A"/>
    <w:rsid w:val="00127F02"/>
    <w:rsid w:val="0013503E"/>
    <w:rsid w:val="00140434"/>
    <w:rsid w:val="00142C8F"/>
    <w:rsid w:val="00147C39"/>
    <w:rsid w:val="00155BD0"/>
    <w:rsid w:val="001625CA"/>
    <w:rsid w:val="001655BC"/>
    <w:rsid w:val="001731D3"/>
    <w:rsid w:val="00173467"/>
    <w:rsid w:val="00173CBA"/>
    <w:rsid w:val="00183CA3"/>
    <w:rsid w:val="00183D40"/>
    <w:rsid w:val="0018764A"/>
    <w:rsid w:val="00192561"/>
    <w:rsid w:val="00193454"/>
    <w:rsid w:val="001A05B9"/>
    <w:rsid w:val="001B123A"/>
    <w:rsid w:val="001B7215"/>
    <w:rsid w:val="001D7B49"/>
    <w:rsid w:val="001E6275"/>
    <w:rsid w:val="001F2735"/>
    <w:rsid w:val="001F3EDC"/>
    <w:rsid w:val="001F71F8"/>
    <w:rsid w:val="00200AA8"/>
    <w:rsid w:val="002018BF"/>
    <w:rsid w:val="00210CE8"/>
    <w:rsid w:val="00233774"/>
    <w:rsid w:val="00251778"/>
    <w:rsid w:val="0025763D"/>
    <w:rsid w:val="002805CA"/>
    <w:rsid w:val="00280F93"/>
    <w:rsid w:val="00282F55"/>
    <w:rsid w:val="0028608E"/>
    <w:rsid w:val="00294061"/>
    <w:rsid w:val="002A2D5F"/>
    <w:rsid w:val="002A662F"/>
    <w:rsid w:val="002B240E"/>
    <w:rsid w:val="002B2797"/>
    <w:rsid w:val="002C5E29"/>
    <w:rsid w:val="002D36F2"/>
    <w:rsid w:val="002D6B6B"/>
    <w:rsid w:val="002E40D8"/>
    <w:rsid w:val="002F2E25"/>
    <w:rsid w:val="002F575A"/>
    <w:rsid w:val="002F6ADF"/>
    <w:rsid w:val="002F79AD"/>
    <w:rsid w:val="00301E38"/>
    <w:rsid w:val="003036A7"/>
    <w:rsid w:val="00315A4E"/>
    <w:rsid w:val="0032023C"/>
    <w:rsid w:val="00320786"/>
    <w:rsid w:val="003343FD"/>
    <w:rsid w:val="003448B4"/>
    <w:rsid w:val="00345806"/>
    <w:rsid w:val="00357ECD"/>
    <w:rsid w:val="00360686"/>
    <w:rsid w:val="00374B58"/>
    <w:rsid w:val="00376F89"/>
    <w:rsid w:val="00380A36"/>
    <w:rsid w:val="00386546"/>
    <w:rsid w:val="003A43AB"/>
    <w:rsid w:val="003C751C"/>
    <w:rsid w:val="003D44BE"/>
    <w:rsid w:val="003E49A6"/>
    <w:rsid w:val="003E7804"/>
    <w:rsid w:val="003F0D31"/>
    <w:rsid w:val="003F193F"/>
    <w:rsid w:val="003F2704"/>
    <w:rsid w:val="00402349"/>
    <w:rsid w:val="004046EF"/>
    <w:rsid w:val="00411F49"/>
    <w:rsid w:val="00451856"/>
    <w:rsid w:val="004548C4"/>
    <w:rsid w:val="00461378"/>
    <w:rsid w:val="004734EE"/>
    <w:rsid w:val="00475622"/>
    <w:rsid w:val="00481995"/>
    <w:rsid w:val="0048215F"/>
    <w:rsid w:val="004850EF"/>
    <w:rsid w:val="0048626D"/>
    <w:rsid w:val="0048693A"/>
    <w:rsid w:val="0049592C"/>
    <w:rsid w:val="00495FBE"/>
    <w:rsid w:val="00496FB8"/>
    <w:rsid w:val="004B21DD"/>
    <w:rsid w:val="004C55FB"/>
    <w:rsid w:val="004C579A"/>
    <w:rsid w:val="004D43D3"/>
    <w:rsid w:val="004E1C07"/>
    <w:rsid w:val="004E78A0"/>
    <w:rsid w:val="004F5903"/>
    <w:rsid w:val="004F5EA6"/>
    <w:rsid w:val="00510283"/>
    <w:rsid w:val="005105C9"/>
    <w:rsid w:val="00513870"/>
    <w:rsid w:val="00515BC8"/>
    <w:rsid w:val="0051613D"/>
    <w:rsid w:val="005161D4"/>
    <w:rsid w:val="00525452"/>
    <w:rsid w:val="00534273"/>
    <w:rsid w:val="00545FF4"/>
    <w:rsid w:val="00550103"/>
    <w:rsid w:val="00552732"/>
    <w:rsid w:val="00561215"/>
    <w:rsid w:val="0056212F"/>
    <w:rsid w:val="005702DA"/>
    <w:rsid w:val="005916A0"/>
    <w:rsid w:val="005A1F0C"/>
    <w:rsid w:val="005B1AD6"/>
    <w:rsid w:val="005B3F6F"/>
    <w:rsid w:val="005C0A98"/>
    <w:rsid w:val="005D5696"/>
    <w:rsid w:val="005F4BE8"/>
    <w:rsid w:val="00602B88"/>
    <w:rsid w:val="00606141"/>
    <w:rsid w:val="00610E1A"/>
    <w:rsid w:val="0062758D"/>
    <w:rsid w:val="0063511A"/>
    <w:rsid w:val="0064435B"/>
    <w:rsid w:val="00653DC1"/>
    <w:rsid w:val="006577E3"/>
    <w:rsid w:val="00657A11"/>
    <w:rsid w:val="006601B5"/>
    <w:rsid w:val="00676CFB"/>
    <w:rsid w:val="00681CBA"/>
    <w:rsid w:val="0068414F"/>
    <w:rsid w:val="006906E8"/>
    <w:rsid w:val="006922D4"/>
    <w:rsid w:val="00694C53"/>
    <w:rsid w:val="006A1D02"/>
    <w:rsid w:val="006A7C63"/>
    <w:rsid w:val="006B3DDB"/>
    <w:rsid w:val="006B745F"/>
    <w:rsid w:val="006C4158"/>
    <w:rsid w:val="006D0D9D"/>
    <w:rsid w:val="006D7294"/>
    <w:rsid w:val="006E6576"/>
    <w:rsid w:val="006F1E9F"/>
    <w:rsid w:val="0071575B"/>
    <w:rsid w:val="00724989"/>
    <w:rsid w:val="00725305"/>
    <w:rsid w:val="00725D41"/>
    <w:rsid w:val="00757455"/>
    <w:rsid w:val="00757687"/>
    <w:rsid w:val="007627CD"/>
    <w:rsid w:val="00770D7E"/>
    <w:rsid w:val="007736D1"/>
    <w:rsid w:val="007771DA"/>
    <w:rsid w:val="00780C44"/>
    <w:rsid w:val="00783181"/>
    <w:rsid w:val="007925B8"/>
    <w:rsid w:val="007935AB"/>
    <w:rsid w:val="00796065"/>
    <w:rsid w:val="007A0CD7"/>
    <w:rsid w:val="007A3310"/>
    <w:rsid w:val="007B0EEF"/>
    <w:rsid w:val="007C3E4B"/>
    <w:rsid w:val="007C71E8"/>
    <w:rsid w:val="007D00EA"/>
    <w:rsid w:val="007D0BB7"/>
    <w:rsid w:val="007D5704"/>
    <w:rsid w:val="007E2EFC"/>
    <w:rsid w:val="007F25E3"/>
    <w:rsid w:val="007F31EB"/>
    <w:rsid w:val="007F6C59"/>
    <w:rsid w:val="0080075A"/>
    <w:rsid w:val="008014A1"/>
    <w:rsid w:val="0080446A"/>
    <w:rsid w:val="0081078B"/>
    <w:rsid w:val="008121D6"/>
    <w:rsid w:val="008122D1"/>
    <w:rsid w:val="0081319D"/>
    <w:rsid w:val="00820CD2"/>
    <w:rsid w:val="0082696F"/>
    <w:rsid w:val="00834B78"/>
    <w:rsid w:val="008363B7"/>
    <w:rsid w:val="00843709"/>
    <w:rsid w:val="00861F88"/>
    <w:rsid w:val="00862558"/>
    <w:rsid w:val="00863E9E"/>
    <w:rsid w:val="00864B8A"/>
    <w:rsid w:val="008650A5"/>
    <w:rsid w:val="00870F55"/>
    <w:rsid w:val="00873FE9"/>
    <w:rsid w:val="00875A37"/>
    <w:rsid w:val="00881F98"/>
    <w:rsid w:val="00887E3B"/>
    <w:rsid w:val="00894FE2"/>
    <w:rsid w:val="00895072"/>
    <w:rsid w:val="00895423"/>
    <w:rsid w:val="008A0A4A"/>
    <w:rsid w:val="008A2FA3"/>
    <w:rsid w:val="008A761A"/>
    <w:rsid w:val="008B234A"/>
    <w:rsid w:val="008B2739"/>
    <w:rsid w:val="008B4BC0"/>
    <w:rsid w:val="008C1347"/>
    <w:rsid w:val="008D0C18"/>
    <w:rsid w:val="008D0F73"/>
    <w:rsid w:val="008D4FBA"/>
    <w:rsid w:val="008D6B98"/>
    <w:rsid w:val="008E4A92"/>
    <w:rsid w:val="008E54F4"/>
    <w:rsid w:val="008E63C3"/>
    <w:rsid w:val="008F0D33"/>
    <w:rsid w:val="008F48B7"/>
    <w:rsid w:val="00902474"/>
    <w:rsid w:val="00902786"/>
    <w:rsid w:val="009172FF"/>
    <w:rsid w:val="00920184"/>
    <w:rsid w:val="0092180C"/>
    <w:rsid w:val="0093776D"/>
    <w:rsid w:val="0094284C"/>
    <w:rsid w:val="00946A6B"/>
    <w:rsid w:val="0095354A"/>
    <w:rsid w:val="00957B22"/>
    <w:rsid w:val="009672AB"/>
    <w:rsid w:val="009728E3"/>
    <w:rsid w:val="00992E5B"/>
    <w:rsid w:val="009A7322"/>
    <w:rsid w:val="009B5B4C"/>
    <w:rsid w:val="009B6632"/>
    <w:rsid w:val="009B7376"/>
    <w:rsid w:val="009C7A6C"/>
    <w:rsid w:val="009D10CC"/>
    <w:rsid w:val="009D3863"/>
    <w:rsid w:val="009E001F"/>
    <w:rsid w:val="009E43D7"/>
    <w:rsid w:val="009E6EC2"/>
    <w:rsid w:val="009F0CA2"/>
    <w:rsid w:val="009F40C3"/>
    <w:rsid w:val="009F6679"/>
    <w:rsid w:val="00A02D0E"/>
    <w:rsid w:val="00A047DE"/>
    <w:rsid w:val="00A07A37"/>
    <w:rsid w:val="00A16FA3"/>
    <w:rsid w:val="00A17BF5"/>
    <w:rsid w:val="00A21A6D"/>
    <w:rsid w:val="00A21CC2"/>
    <w:rsid w:val="00A21ED1"/>
    <w:rsid w:val="00A254CC"/>
    <w:rsid w:val="00A270AE"/>
    <w:rsid w:val="00A30071"/>
    <w:rsid w:val="00A503F7"/>
    <w:rsid w:val="00A53D5D"/>
    <w:rsid w:val="00A5477A"/>
    <w:rsid w:val="00A56BC8"/>
    <w:rsid w:val="00A67F9B"/>
    <w:rsid w:val="00A7224F"/>
    <w:rsid w:val="00A76894"/>
    <w:rsid w:val="00A76EAD"/>
    <w:rsid w:val="00A77D7A"/>
    <w:rsid w:val="00A804A5"/>
    <w:rsid w:val="00A83A01"/>
    <w:rsid w:val="00A8615B"/>
    <w:rsid w:val="00A9356B"/>
    <w:rsid w:val="00A93706"/>
    <w:rsid w:val="00A970B5"/>
    <w:rsid w:val="00AA47DC"/>
    <w:rsid w:val="00AA721E"/>
    <w:rsid w:val="00AB33B7"/>
    <w:rsid w:val="00AB4C86"/>
    <w:rsid w:val="00AB714D"/>
    <w:rsid w:val="00AC03DD"/>
    <w:rsid w:val="00AC11C7"/>
    <w:rsid w:val="00AC336D"/>
    <w:rsid w:val="00AC4609"/>
    <w:rsid w:val="00AC6AC9"/>
    <w:rsid w:val="00AD5465"/>
    <w:rsid w:val="00AE02A8"/>
    <w:rsid w:val="00AE18A6"/>
    <w:rsid w:val="00AE18FE"/>
    <w:rsid w:val="00AE7097"/>
    <w:rsid w:val="00B0048E"/>
    <w:rsid w:val="00B027D8"/>
    <w:rsid w:val="00B0367F"/>
    <w:rsid w:val="00B074B8"/>
    <w:rsid w:val="00B105C7"/>
    <w:rsid w:val="00B135C3"/>
    <w:rsid w:val="00B50A53"/>
    <w:rsid w:val="00B51D9B"/>
    <w:rsid w:val="00B53800"/>
    <w:rsid w:val="00B559AB"/>
    <w:rsid w:val="00B66A80"/>
    <w:rsid w:val="00B66B65"/>
    <w:rsid w:val="00B72132"/>
    <w:rsid w:val="00B74742"/>
    <w:rsid w:val="00B8673B"/>
    <w:rsid w:val="00B87B65"/>
    <w:rsid w:val="00B96B20"/>
    <w:rsid w:val="00BC04FB"/>
    <w:rsid w:val="00BD2043"/>
    <w:rsid w:val="00BD3366"/>
    <w:rsid w:val="00BD4388"/>
    <w:rsid w:val="00BF175C"/>
    <w:rsid w:val="00BF20D7"/>
    <w:rsid w:val="00BF7D81"/>
    <w:rsid w:val="00C07B62"/>
    <w:rsid w:val="00C174D2"/>
    <w:rsid w:val="00C243DC"/>
    <w:rsid w:val="00C3294F"/>
    <w:rsid w:val="00C377FD"/>
    <w:rsid w:val="00C476BC"/>
    <w:rsid w:val="00C637D1"/>
    <w:rsid w:val="00C67888"/>
    <w:rsid w:val="00C74D77"/>
    <w:rsid w:val="00C80ED6"/>
    <w:rsid w:val="00C8201A"/>
    <w:rsid w:val="00C84427"/>
    <w:rsid w:val="00C961A2"/>
    <w:rsid w:val="00CA4E75"/>
    <w:rsid w:val="00CB0375"/>
    <w:rsid w:val="00CB4E7B"/>
    <w:rsid w:val="00CB7405"/>
    <w:rsid w:val="00CD0E11"/>
    <w:rsid w:val="00CF6E12"/>
    <w:rsid w:val="00D02E74"/>
    <w:rsid w:val="00D12350"/>
    <w:rsid w:val="00D1456D"/>
    <w:rsid w:val="00D22C9B"/>
    <w:rsid w:val="00D354E6"/>
    <w:rsid w:val="00D358E5"/>
    <w:rsid w:val="00D373D3"/>
    <w:rsid w:val="00D424A3"/>
    <w:rsid w:val="00D43CED"/>
    <w:rsid w:val="00D53134"/>
    <w:rsid w:val="00D663AD"/>
    <w:rsid w:val="00D67A18"/>
    <w:rsid w:val="00D7129D"/>
    <w:rsid w:val="00D720AC"/>
    <w:rsid w:val="00D73A53"/>
    <w:rsid w:val="00D81944"/>
    <w:rsid w:val="00D97309"/>
    <w:rsid w:val="00DA4061"/>
    <w:rsid w:val="00DB2290"/>
    <w:rsid w:val="00DC4B04"/>
    <w:rsid w:val="00DC602E"/>
    <w:rsid w:val="00DD65C1"/>
    <w:rsid w:val="00DD7F3B"/>
    <w:rsid w:val="00DE4FBB"/>
    <w:rsid w:val="00DF011E"/>
    <w:rsid w:val="00E07FB9"/>
    <w:rsid w:val="00E11655"/>
    <w:rsid w:val="00E16C36"/>
    <w:rsid w:val="00E20162"/>
    <w:rsid w:val="00E224E0"/>
    <w:rsid w:val="00E2591D"/>
    <w:rsid w:val="00E30D92"/>
    <w:rsid w:val="00E42A82"/>
    <w:rsid w:val="00E42D93"/>
    <w:rsid w:val="00E568F8"/>
    <w:rsid w:val="00E56F2D"/>
    <w:rsid w:val="00E57728"/>
    <w:rsid w:val="00E64A7A"/>
    <w:rsid w:val="00E72101"/>
    <w:rsid w:val="00E87B6C"/>
    <w:rsid w:val="00EA0666"/>
    <w:rsid w:val="00EA5657"/>
    <w:rsid w:val="00ED1756"/>
    <w:rsid w:val="00ED1B26"/>
    <w:rsid w:val="00EE2E48"/>
    <w:rsid w:val="00EE4E2E"/>
    <w:rsid w:val="00EE753A"/>
    <w:rsid w:val="00F032DA"/>
    <w:rsid w:val="00F060C2"/>
    <w:rsid w:val="00F078C2"/>
    <w:rsid w:val="00F108C6"/>
    <w:rsid w:val="00F15F45"/>
    <w:rsid w:val="00F22442"/>
    <w:rsid w:val="00F232CE"/>
    <w:rsid w:val="00F33325"/>
    <w:rsid w:val="00F43665"/>
    <w:rsid w:val="00F675C0"/>
    <w:rsid w:val="00F73EC2"/>
    <w:rsid w:val="00F7486C"/>
    <w:rsid w:val="00F954EA"/>
    <w:rsid w:val="00FA3459"/>
    <w:rsid w:val="00FA74C6"/>
    <w:rsid w:val="00FC219B"/>
    <w:rsid w:val="00FC64F2"/>
    <w:rsid w:val="00FD01DC"/>
    <w:rsid w:val="00FD6F70"/>
    <w:rsid w:val="00FD7EF7"/>
    <w:rsid w:val="00FE0A47"/>
    <w:rsid w:val="00FE4567"/>
    <w:rsid w:val="00FE7E83"/>
    <w:rsid w:val="00FF6F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20" w:line="271"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376"/>
    <w:pPr>
      <w:spacing w:after="0" w:line="240" w:lineRule="auto"/>
    </w:pPr>
    <w:rPr>
      <w:rFonts w:ascii="Times New Roman" w:hAnsi="Times New Roman" w:cs="Times New Roman"/>
      <w:sz w:val="24"/>
      <w:szCs w:val="24"/>
    </w:rPr>
  </w:style>
  <w:style w:type="paragraph" w:styleId="Heading2">
    <w:name w:val="heading 2"/>
    <w:basedOn w:val="Normal"/>
    <w:next w:val="Normal"/>
    <w:link w:val="Heading2Char"/>
    <w:uiPriority w:val="9"/>
    <w:unhideWhenUsed/>
    <w:qFormat/>
    <w:rsid w:val="00A76894"/>
    <w:pPr>
      <w:keepNext/>
      <w:keepLines/>
      <w:spacing w:before="200" w:after="120" w:line="271" w:lineRule="atLeast"/>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76894"/>
    <w:rPr>
      <w:rFonts w:asciiTheme="majorHAnsi" w:eastAsiaTheme="majorEastAsia" w:hAnsiTheme="majorHAnsi" w:cstheme="majorBidi"/>
      <w:b/>
      <w:bCs/>
      <w:sz w:val="26"/>
      <w:szCs w:val="26"/>
    </w:rPr>
  </w:style>
  <w:style w:type="paragraph" w:styleId="NormalWeb">
    <w:name w:val="Normal (Web)"/>
    <w:basedOn w:val="Normal"/>
    <w:uiPriority w:val="99"/>
    <w:semiHidden/>
    <w:unhideWhenUsed/>
    <w:rsid w:val="009B7376"/>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606736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1599</Words>
  <Characters>8943</Characters>
  <Application>Microsoft Office Word</Application>
  <DocSecurity>0</DocSecurity>
  <Lines>120</Lines>
  <Paragraphs>36</Paragraphs>
  <ScaleCrop>false</ScaleCrop>
  <Company>USC/ISI</Company>
  <LinksUpToDate>false</LinksUpToDate>
  <CharactersWithSpaces>10506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DMD</dc:creator>
  <cp:lastModifiedBy>DMD</cp:lastModifiedBy>
  <cp:revision>1</cp:revision>
  <dcterms:created xsi:type="dcterms:W3CDTF">2017-06-17T15:58:00Z</dcterms:created>
  <dcterms:modified xsi:type="dcterms:W3CDTF">2017-06-17T15:59:00Z</dcterms:modified>
</cp:coreProperties>
</file>