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Pr="00526F7B" w:rsidRDefault="005B6481" w:rsidP="007500A3">
      <w:pPr>
        <w:jc w:val="center"/>
        <w:rPr>
          <w:b/>
          <w:sz w:val="28"/>
        </w:rPr>
      </w:pPr>
      <w:r>
        <w:rPr>
          <w:b/>
          <w:sz w:val="28"/>
        </w:rPr>
        <w:t>Critical Think</w:t>
      </w:r>
      <w:r w:rsidR="007500A3" w:rsidRPr="00526F7B">
        <w:rPr>
          <w:b/>
          <w:sz w:val="28"/>
        </w:rPr>
        <w:t>ing Training:</w:t>
      </w:r>
      <w:r w:rsidR="00EA3E65" w:rsidRPr="00526F7B">
        <w:rPr>
          <w:b/>
          <w:sz w:val="28"/>
        </w:rPr>
        <w:t xml:space="preserve"> </w:t>
      </w:r>
      <w:r w:rsidR="00E62D04" w:rsidRPr="00526F7B">
        <w:rPr>
          <w:b/>
          <w:sz w:val="28"/>
        </w:rPr>
        <w:br/>
      </w:r>
      <w:r w:rsidR="007500A3" w:rsidRPr="00526F7B">
        <w:rPr>
          <w:b/>
          <w:sz w:val="28"/>
        </w:rPr>
        <w:t xml:space="preserve">Proven New Technologies for Engaging </w:t>
      </w:r>
      <w:proofErr w:type="gramStart"/>
      <w:r w:rsidR="007500A3" w:rsidRPr="00526F7B">
        <w:rPr>
          <w:b/>
          <w:sz w:val="28"/>
        </w:rPr>
        <w:t>DoD</w:t>
      </w:r>
      <w:proofErr w:type="gramEnd"/>
      <w:r w:rsidR="007500A3" w:rsidRPr="00526F7B">
        <w:rPr>
          <w:b/>
          <w:sz w:val="28"/>
        </w:rPr>
        <w:t xml:space="preserve"> Personnel</w:t>
      </w:r>
    </w:p>
    <w:p w:rsidR="007E2964" w:rsidRPr="00526F7B" w:rsidRDefault="007E2964" w:rsidP="00EA3E65">
      <w:pPr>
        <w:pStyle w:val="Heading1"/>
      </w:pPr>
    </w:p>
    <w:p w:rsidR="007E2964" w:rsidRPr="00526F7B" w:rsidRDefault="007E2964" w:rsidP="00EA3E65">
      <w:pPr>
        <w:pStyle w:val="Heading1"/>
      </w:pPr>
    </w:p>
    <w:tbl>
      <w:tblPr>
        <w:tblW w:w="8982" w:type="dxa"/>
        <w:jc w:val="center"/>
        <w:tblLook w:val="0000"/>
      </w:tblPr>
      <w:tblGrid>
        <w:gridCol w:w="2934"/>
        <w:gridCol w:w="3258"/>
        <w:gridCol w:w="2790"/>
      </w:tblGrid>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F124F">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DF124F" w:rsidRDefault="00DF124F" w:rsidP="00EA3E65">
      <w:pPr>
        <w:pStyle w:val="Heading1"/>
      </w:pPr>
    </w:p>
    <w:p w:rsidR="00EA3E65" w:rsidRPr="00526F7B" w:rsidRDefault="00EA3E65" w:rsidP="00B44E32">
      <w:pPr>
        <w:pStyle w:val="Heading1"/>
      </w:pPr>
      <w:r w:rsidRPr="00526F7B">
        <w:t>ABSTRACT</w:t>
      </w:r>
    </w:p>
    <w:p w:rsidR="002644E5" w:rsidRPr="00526F7B" w:rsidRDefault="002644E5" w:rsidP="00B44E32">
      <w:pPr>
        <w:pStyle w:val="Heading1"/>
        <w:spacing w:before="120"/>
        <w:jc w:val="both"/>
      </w:pPr>
      <w:r w:rsidRPr="00526F7B">
        <w:rPr>
          <w:b w:val="0"/>
          <w:iCs/>
        </w:rPr>
        <w:t>Critical thinking is widely accepted as a requisite skill for successful military leaders.  Today’s DoD leaders must thwart sudden assaults with preemptive parries and innovative defensive tactics.  This requires a level of critical thinking and meta-cognition that is always not found in educational processes today.  Effectively enhancing that skill set via a range of training techniques has a well-documented history, but the application of those techniques remains problematical for a number of reasons.  The authors' past and current research is in the use of conversational on-line avatars in a number of contexts and in the use of distributed computing and simulation.  They assert these can be used to address problems</w:t>
      </w:r>
      <w:r>
        <w:rPr>
          <w:b w:val="0"/>
          <w:iCs/>
        </w:rPr>
        <w:t xml:space="preserve"> in critical thinking training</w:t>
      </w:r>
      <w:r w:rsidRPr="00526F7B">
        <w:rPr>
          <w:b w:val="0"/>
          <w:iCs/>
        </w:rPr>
        <w:t xml:space="preserve">. These capabilities tender a solution to global application and continuing availability of </w:t>
      </w:r>
      <w:r>
        <w:rPr>
          <w:b w:val="0"/>
          <w:iCs/>
        </w:rPr>
        <w:t>this</w:t>
      </w:r>
      <w:r w:rsidRPr="00526F7B">
        <w:rPr>
          <w:b w:val="0"/>
          <w:iCs/>
        </w:rPr>
        <w:t xml:space="preserve"> training for DoD personnel. A short review is offered of the need for critical thinking. A brief survey of effective critical thinking pedagogies is followed by an analysis of which </w:t>
      </w:r>
      <w:r w:rsidR="00524901">
        <w:rPr>
          <w:b w:val="0"/>
          <w:iCs/>
        </w:rPr>
        <w:t xml:space="preserve">of these </w:t>
      </w:r>
      <w:r w:rsidRPr="00526F7B">
        <w:rPr>
          <w:b w:val="0"/>
          <w:iCs/>
        </w:rPr>
        <w:t>would be most effectively adapted to the distributed computing avatar environment. Then this paper discusses both the distributed computing simulation capabilities that have been demonstrated and the emerging technologies enabling the delivery of engag</w:t>
      </w:r>
      <w:r>
        <w:rPr>
          <w:b w:val="0"/>
          <w:iCs/>
        </w:rPr>
        <w:t>ing conversational avatars. These avatars are</w:t>
      </w:r>
      <w:r w:rsidRPr="00526F7B">
        <w:rPr>
          <w:b w:val="0"/>
          <w:iCs/>
        </w:rPr>
        <w:t xml:space="preserve"> capable of carrying on a life-like verbal exchange with the users.  Examples of where and how both the distributed computing and avatar interfaces have proven effective are given, with analysis about the impact these capabilities would have on critical thinking training.  A discussion is presented concerning the relative benefits of using an</w:t>
      </w:r>
      <w:r>
        <w:rPr>
          <w:b w:val="0"/>
          <w:iCs/>
        </w:rPr>
        <w:t>imated avatars vice using</w:t>
      </w:r>
      <w:r w:rsidRPr="00526F7B">
        <w:rPr>
          <w:b w:val="0"/>
          <w:iCs/>
        </w:rPr>
        <w:t xml:space="preserve"> video clips </w:t>
      </w:r>
      <w:r>
        <w:rPr>
          <w:b w:val="0"/>
          <w:iCs/>
        </w:rPr>
        <w:t xml:space="preserve">of “live” personnel </w:t>
      </w:r>
      <w:r w:rsidRPr="00526F7B">
        <w:rPr>
          <w:b w:val="0"/>
          <w:iCs/>
        </w:rPr>
        <w:t xml:space="preserve">as the response vehicle for the conversation.  The efficacy of using an active voice recognition-enabled dialogue instead of a text delivered didactic approach is given.  The paper closes with a description of how such a system could effectively serve the globally-dispersed and time-constrained DoD personnel. </w:t>
      </w:r>
    </w:p>
    <w:p w:rsidR="002644E5" w:rsidRPr="00526F7B" w:rsidRDefault="002644E5" w:rsidP="002644E5">
      <w:pPr>
        <w:pStyle w:val="Heading1"/>
      </w:pPr>
    </w:p>
    <w:p w:rsidR="00414D08" w:rsidRPr="00526F7B" w:rsidRDefault="00414D08" w:rsidP="00EA3E65">
      <w:pPr>
        <w:pStyle w:val="Heading1"/>
      </w:pPr>
    </w:p>
    <w:p w:rsidR="00EA3E65" w:rsidRPr="00526F7B" w:rsidRDefault="00EA3E65" w:rsidP="00EA3E65">
      <w:pPr>
        <w:pStyle w:val="Heading1"/>
      </w:pPr>
      <w:r w:rsidRPr="00526F7B">
        <w:t>ABOUT THE AUTHORS</w:t>
      </w:r>
    </w:p>
    <w:p w:rsidR="006039BE" w:rsidRPr="00526F7B" w:rsidRDefault="00EA3E65" w:rsidP="00B44E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526F7B">
        <w:rPr>
          <w:b/>
          <w:bCs/>
        </w:rPr>
        <w:t>Dan M. Davis</w:t>
      </w:r>
      <w:r w:rsidR="008E6450">
        <w:rPr>
          <w:bCs/>
        </w:rPr>
        <w:t xml:space="preserve"> is a consultant for the</w:t>
      </w:r>
      <w:r w:rsidRPr="00526F7B">
        <w:rPr>
          <w:bCs/>
        </w:rPr>
        <w:t xml:space="preserve"> University of Southern California, focusing on large-scale distributed </w:t>
      </w:r>
      <w:proofErr w:type="gramStart"/>
      <w:r w:rsidRPr="00526F7B">
        <w:rPr>
          <w:bCs/>
        </w:rPr>
        <w:t>DoD</w:t>
      </w:r>
      <w:proofErr w:type="gramEnd"/>
      <w:r w:rsidRPr="00526F7B">
        <w:rPr>
          <w:bCs/>
        </w:rPr>
        <w:t xml:space="preserve"> simulations</w:t>
      </w:r>
      <w:r w:rsidR="002E0771">
        <w:rPr>
          <w:bCs/>
        </w:rPr>
        <w:t>. Pr</w:t>
      </w:r>
      <w:r w:rsidR="00911C41" w:rsidRPr="00526F7B">
        <w:rPr>
          <w:bCs/>
        </w:rPr>
        <w:t>e</w:t>
      </w:r>
      <w:r w:rsidR="002E0771">
        <w:rPr>
          <w:bCs/>
        </w:rPr>
        <w:t>-retirement,</w:t>
      </w:r>
      <w:r w:rsidR="00911C41" w:rsidRPr="00526F7B">
        <w:rPr>
          <w:bCs/>
        </w:rPr>
        <w:t xml:space="preserve"> </w:t>
      </w:r>
      <w:r w:rsidR="008E6450" w:rsidRPr="00526F7B">
        <w:rPr>
          <w:bCs/>
        </w:rPr>
        <w:t>for a decade</w:t>
      </w:r>
      <w:r w:rsidR="008E6450">
        <w:rPr>
          <w:bCs/>
        </w:rPr>
        <w:t xml:space="preserve"> </w:t>
      </w:r>
      <w:r w:rsidR="002E0771">
        <w:rPr>
          <w:bCs/>
        </w:rPr>
        <w:t xml:space="preserve">he </w:t>
      </w:r>
      <w:r w:rsidR="008E6450">
        <w:rPr>
          <w:bCs/>
        </w:rPr>
        <w:t>was the Director of</w:t>
      </w:r>
      <w:r w:rsidRPr="00526F7B">
        <w:rPr>
          <w:bCs/>
        </w:rPr>
        <w:t xml:space="preserve"> </w:t>
      </w:r>
      <w:r w:rsidR="002E0771">
        <w:rPr>
          <w:bCs/>
        </w:rPr>
        <w:t>USC’s</w:t>
      </w:r>
      <w:r w:rsidRPr="00526F7B">
        <w:rPr>
          <w:bCs/>
        </w:rPr>
        <w:t xml:space="preserve"> JESPP project </w:t>
      </w:r>
      <w:r w:rsidR="002E0771">
        <w:rPr>
          <w:bCs/>
        </w:rPr>
        <w:t>for</w:t>
      </w:r>
      <w:r w:rsidR="00911C41" w:rsidRPr="00526F7B">
        <w:rPr>
          <w:bCs/>
        </w:rPr>
        <w:t xml:space="preserve"> JFCOM</w:t>
      </w:r>
      <w:r w:rsidRPr="00526F7B">
        <w:rPr>
          <w:bCs/>
        </w:rPr>
        <w:t xml:space="preserve">. As the Assistant Director of the Center for Advanced Computing Research at Caltech, he managed Synthetic Forces Express, bringing HPC to DoD simulations. Prior experience includes serving as a Director at the Maui High Performance Computing Center and as a Software Engineer at the Jet Propulsion Laboratory and Martin Marietta. He has served as the Chairman of the Coalition of Academic Supercomputing Centers and has taught at the undergraduate and graduate levels. </w:t>
      </w:r>
      <w:r w:rsidR="00956E5D" w:rsidRPr="00526F7B">
        <w:rPr>
          <w:bCs/>
        </w:rPr>
        <w:t xml:space="preserve">As early as 1971, </w:t>
      </w:r>
      <w:r w:rsidR="004D19AD" w:rsidRPr="00526F7B">
        <w:rPr>
          <w:bCs/>
        </w:rPr>
        <w:t>Dan</w:t>
      </w:r>
      <w:r w:rsidR="006D3F05" w:rsidRPr="00526F7B">
        <w:rPr>
          <w:bCs/>
        </w:rPr>
        <w:t xml:space="preserve"> </w:t>
      </w:r>
      <w:r w:rsidR="00956E5D" w:rsidRPr="00526F7B">
        <w:rPr>
          <w:bCs/>
        </w:rPr>
        <w:t xml:space="preserve">was writing </w:t>
      </w:r>
      <w:r w:rsidR="006D3F05" w:rsidRPr="00526F7B">
        <w:rPr>
          <w:bCs/>
        </w:rPr>
        <w:t>programs in</w:t>
      </w:r>
      <w:r w:rsidR="004D19AD" w:rsidRPr="00526F7B">
        <w:rPr>
          <w:bCs/>
        </w:rPr>
        <w:t xml:space="preserve"> FORTRAN </w:t>
      </w:r>
      <w:r w:rsidR="006D3F05" w:rsidRPr="00526F7B">
        <w:rPr>
          <w:bCs/>
        </w:rPr>
        <w:t>on</w:t>
      </w:r>
      <w:r w:rsidR="004D19AD" w:rsidRPr="00526F7B">
        <w:rPr>
          <w:bCs/>
        </w:rPr>
        <w:t xml:space="preserve"> one of S</w:t>
      </w:r>
      <w:r w:rsidR="00956E5D" w:rsidRPr="00526F7B">
        <w:rPr>
          <w:bCs/>
        </w:rPr>
        <w:t>eymour Cray’s CDC 6500’s</w:t>
      </w:r>
      <w:r w:rsidR="004D19AD" w:rsidRPr="00526F7B">
        <w:rPr>
          <w:bCs/>
        </w:rPr>
        <w:t xml:space="preserve">. </w:t>
      </w:r>
      <w:r w:rsidRPr="00526F7B">
        <w:rPr>
          <w:bCs/>
        </w:rPr>
        <w:t xml:space="preserve">He saw duty in Vietnam as a USMC Cryptologist and retired as a Commander, Cryptologic Specialty, </w:t>
      </w:r>
      <w:proofErr w:type="gramStart"/>
      <w:r w:rsidRPr="00526F7B">
        <w:rPr>
          <w:bCs/>
        </w:rPr>
        <w:t>U.S.N.R</w:t>
      </w:r>
      <w:proofErr w:type="gramEnd"/>
      <w:r w:rsidRPr="00526F7B">
        <w:rPr>
          <w:bCs/>
        </w:rPr>
        <w:t>. He received B.A. and J.D. degrees from the University of Colorado in Boulder.</w:t>
      </w:r>
    </w:p>
    <w:p w:rsidR="00B44E32" w:rsidRPr="00B44E32" w:rsidRDefault="005D1B21" w:rsidP="00B44E32">
      <w:pPr>
        <w:spacing w:before="120"/>
        <w:jc w:val="both"/>
        <w:rPr>
          <w:bCs/>
        </w:rPr>
      </w:pPr>
      <w:r w:rsidRPr="00526F7B">
        <w:rPr>
          <w:b/>
          <w:bCs/>
        </w:rPr>
        <w:t>Nicholas Kaimakis</w:t>
      </w:r>
      <w:r w:rsidRPr="00526F7B">
        <w:rPr>
          <w:bCs/>
        </w:rPr>
        <w:t xml:space="preserve"> is active in research at the Institute for Creative Technologies of the University of Southern California.  His current research thrusts are in the use of computer generated avatars or video clips, animated and directed by natural language optimized Artificial Intelligence (A/I) programs that present a life-like dialogue capability to interact with remote users via the internet. He has demonstrable success designing efficient project structures, teaching programming, and managing multi-faceted teams. His current project is funded by the Navy and is designed to help improve knowledge of STEM fields across varied demographics with the development of an interactive interface that makes STEM information more accessible on-line. He is an undergraduate student studying Computer Science</w:t>
      </w:r>
      <w:r w:rsidR="00843927">
        <w:rPr>
          <w:bCs/>
        </w:rPr>
        <w:t xml:space="preserve"> (CS)</w:t>
      </w:r>
      <w:r w:rsidRPr="00526F7B">
        <w:rPr>
          <w:bCs/>
        </w:rPr>
        <w:t xml:space="preserve"> within the Viterbi School of Engineering at the University of Southern California.</w:t>
      </w:r>
    </w:p>
    <w:p w:rsidR="00971F3D" w:rsidRPr="00526F7B" w:rsidRDefault="002644E5" w:rsidP="00B44E32">
      <w:pPr>
        <w:spacing w:before="120"/>
        <w:jc w:val="both"/>
        <w:rPr>
          <w:bCs/>
        </w:rPr>
      </w:pPr>
      <w:r w:rsidRPr="002C060C">
        <w:rPr>
          <w:b/>
          <w:bCs/>
        </w:rPr>
        <w:t xml:space="preserve">Howard Spaulding </w:t>
      </w:r>
      <w:r w:rsidRPr="002C060C">
        <w:rPr>
          <w:bCs/>
        </w:rPr>
        <w:t xml:space="preserve">is a retired Cryptologic Technician (Interpretive) Senior Chief </w:t>
      </w:r>
      <w:r>
        <w:rPr>
          <w:bCs/>
        </w:rPr>
        <w:t xml:space="preserve">Petty Officer </w:t>
      </w:r>
      <w:r w:rsidRPr="002C060C">
        <w:rPr>
          <w:bCs/>
        </w:rPr>
        <w:t>and recently retired from Schneider National</w:t>
      </w:r>
      <w:r w:rsidR="00E125AC">
        <w:rPr>
          <w:bCs/>
        </w:rPr>
        <w:t xml:space="preserve"> where his duties focused on training</w:t>
      </w:r>
      <w:r w:rsidRPr="002C060C">
        <w:rPr>
          <w:bCs/>
        </w:rPr>
        <w:t xml:space="preserve">.  His military service spanned three decades including 28 months in Viet Nam as a Marine Cryptologic Linguist.  His Naval service included tours in the Philippines, Thailand and Japan.  He also served as the Assistant Officer in Charge during the development of a highly technical project under the supervision of CNSG and SPAWAR and was instrumental in the interior design of the ES-3A </w:t>
      </w:r>
      <w:r w:rsidRPr="002C060C">
        <w:rPr>
          <w:bCs/>
        </w:rPr>
        <w:lastRenderedPageBreak/>
        <w:t>Aircraft.  He made two deployments aboard an Allied Naval vessel as the lone area/target expert.  He has been at the forefront of career path decisions of other personnel in both the military and civilian sectors.  He received a BA from California State University, Long Beach in</w:t>
      </w:r>
      <w:r>
        <w:rPr>
          <w:bCs/>
        </w:rPr>
        <w:t xml:space="preserve"> </w:t>
      </w:r>
      <w:r w:rsidRPr="002C060C">
        <w:rPr>
          <w:bCs/>
        </w:rPr>
        <w:t>1983 while still on active duty</w:t>
      </w:r>
      <w:r w:rsidRPr="002C060C">
        <w:rPr>
          <w:b/>
          <w:bCs/>
        </w:rPr>
        <w:t>.</w:t>
      </w:r>
      <w:r w:rsidR="00971F3D" w:rsidRPr="00526F7B">
        <w:rPr>
          <w:bCs/>
        </w:rPr>
        <w:br w:type="page"/>
      </w:r>
    </w:p>
    <w:p w:rsidR="00580987" w:rsidRPr="00526F7B" w:rsidRDefault="00580987" w:rsidP="00971F3D">
      <w:pPr>
        <w:jc w:val="center"/>
        <w:rPr>
          <w:b/>
          <w:sz w:val="28"/>
        </w:rPr>
        <w:sectPr w:rsidR="00580987" w:rsidRPr="00526F7B" w:rsidSect="00580987">
          <w:headerReference w:type="default" r:id="rId12"/>
          <w:footerReference w:type="default" r:id="rId13"/>
          <w:type w:val="continuous"/>
          <w:pgSz w:w="12240" w:h="15840"/>
          <w:pgMar w:top="1080" w:right="1440" w:bottom="1440" w:left="1440" w:header="720" w:footer="346" w:gutter="0"/>
          <w:cols w:space="720"/>
          <w:docGrid w:linePitch="360"/>
        </w:sectPr>
      </w:pPr>
    </w:p>
    <w:p w:rsidR="00971F3D" w:rsidRPr="00526F7B" w:rsidRDefault="005B6481" w:rsidP="00971F3D">
      <w:pPr>
        <w:jc w:val="center"/>
        <w:rPr>
          <w:b/>
          <w:sz w:val="28"/>
        </w:rPr>
      </w:pPr>
      <w:r>
        <w:rPr>
          <w:b/>
          <w:sz w:val="28"/>
        </w:rPr>
        <w:lastRenderedPageBreak/>
        <w:t>Critical Think</w:t>
      </w:r>
      <w:r w:rsidR="00971F3D" w:rsidRPr="00526F7B">
        <w:rPr>
          <w:b/>
          <w:sz w:val="28"/>
        </w:rPr>
        <w:t xml:space="preserve">ing Training: </w:t>
      </w:r>
      <w:r w:rsidR="00971F3D" w:rsidRPr="00526F7B">
        <w:rPr>
          <w:b/>
          <w:sz w:val="28"/>
        </w:rPr>
        <w:br/>
        <w:t xml:space="preserve">Proven New Technologies for Engaging </w:t>
      </w:r>
      <w:proofErr w:type="gramStart"/>
      <w:r w:rsidR="00971F3D" w:rsidRPr="00526F7B">
        <w:rPr>
          <w:b/>
          <w:sz w:val="28"/>
        </w:rPr>
        <w:t>DoD</w:t>
      </w:r>
      <w:proofErr w:type="gramEnd"/>
      <w:r w:rsidR="00971F3D" w:rsidRPr="00526F7B">
        <w:rPr>
          <w:b/>
          <w:sz w:val="28"/>
        </w:rPr>
        <w:t xml:space="preserve"> Personnel</w:t>
      </w:r>
    </w:p>
    <w:p w:rsidR="00971F3D" w:rsidRPr="00526F7B" w:rsidRDefault="00971F3D" w:rsidP="00971F3D">
      <w:pPr>
        <w:jc w:val="center"/>
        <w:rPr>
          <w:b/>
          <w:bCs/>
          <w:sz w:val="28"/>
        </w:rPr>
      </w:pPr>
    </w:p>
    <w:tbl>
      <w:tblPr>
        <w:tblW w:w="8982" w:type="dxa"/>
        <w:jc w:val="center"/>
        <w:tblLook w:val="0000"/>
      </w:tblPr>
      <w:tblGrid>
        <w:gridCol w:w="2934"/>
        <w:gridCol w:w="3258"/>
        <w:gridCol w:w="2790"/>
      </w:tblGrid>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Dan M. Davis</w:t>
            </w:r>
          </w:p>
        </w:tc>
        <w:tc>
          <w:tcPr>
            <w:tcW w:w="3258" w:type="dxa"/>
          </w:tcPr>
          <w:p w:rsidR="00DF124F" w:rsidRPr="00F05952" w:rsidRDefault="00DF124F" w:rsidP="00D11DC4">
            <w:pPr>
              <w:jc w:val="center"/>
              <w:rPr>
                <w:b/>
              </w:rPr>
            </w:pPr>
            <w:r w:rsidRPr="00F05952">
              <w:rPr>
                <w:b/>
              </w:rPr>
              <w:t>Nicholas J. Kaimakis</w:t>
            </w:r>
          </w:p>
        </w:tc>
        <w:tc>
          <w:tcPr>
            <w:tcW w:w="2790" w:type="dxa"/>
          </w:tcPr>
          <w:p w:rsidR="00DF124F" w:rsidRPr="00F05952" w:rsidRDefault="00DF124F" w:rsidP="00D11DC4">
            <w:pPr>
              <w:jc w:val="center"/>
              <w:rPr>
                <w:b/>
              </w:rPr>
            </w:pPr>
            <w:r w:rsidRPr="00F05952">
              <w:rPr>
                <w:b/>
              </w:rPr>
              <w:t>Howard Spaulding</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HPC-Education/USC</w:t>
            </w:r>
          </w:p>
        </w:tc>
        <w:tc>
          <w:tcPr>
            <w:tcW w:w="3258" w:type="dxa"/>
          </w:tcPr>
          <w:p w:rsidR="00DF124F" w:rsidRPr="00F05952" w:rsidRDefault="00DF124F" w:rsidP="00D11DC4">
            <w:pPr>
              <w:jc w:val="center"/>
              <w:rPr>
                <w:b/>
              </w:rPr>
            </w:pPr>
            <w:r w:rsidRPr="00F05952">
              <w:rPr>
                <w:b/>
              </w:rPr>
              <w:t>ICT/Univ. of Southern California</w:t>
            </w:r>
          </w:p>
        </w:tc>
        <w:tc>
          <w:tcPr>
            <w:tcW w:w="2790" w:type="dxa"/>
          </w:tcPr>
          <w:p w:rsidR="00DF124F" w:rsidRPr="00F05952" w:rsidRDefault="00DF124F" w:rsidP="00D11DC4">
            <w:pPr>
              <w:jc w:val="center"/>
              <w:rPr>
                <w:b/>
              </w:rPr>
            </w:pPr>
            <w:r w:rsidRPr="00F05952">
              <w:rPr>
                <w:b/>
              </w:rPr>
              <w:t>Training Consultant</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Long Beach, California</w:t>
            </w:r>
          </w:p>
        </w:tc>
        <w:tc>
          <w:tcPr>
            <w:tcW w:w="3258" w:type="dxa"/>
          </w:tcPr>
          <w:p w:rsidR="00DF124F" w:rsidRPr="00F05952" w:rsidRDefault="00DF124F" w:rsidP="00D11DC4">
            <w:pPr>
              <w:jc w:val="center"/>
              <w:rPr>
                <w:b/>
              </w:rPr>
            </w:pPr>
            <w:r w:rsidRPr="00F05952">
              <w:rPr>
                <w:b/>
              </w:rPr>
              <w:t>Los Angeles, California</w:t>
            </w:r>
          </w:p>
        </w:tc>
        <w:tc>
          <w:tcPr>
            <w:tcW w:w="2790" w:type="dxa"/>
          </w:tcPr>
          <w:p w:rsidR="00DF124F" w:rsidRPr="00F05952" w:rsidRDefault="00DF124F" w:rsidP="00D11DC4">
            <w:pPr>
              <w:jc w:val="center"/>
              <w:rPr>
                <w:b/>
              </w:rPr>
            </w:pPr>
            <w:r w:rsidRPr="00F05952">
              <w:rPr>
                <w:b/>
              </w:rPr>
              <w:t>Arlington, Texas</w:t>
            </w:r>
          </w:p>
        </w:tc>
      </w:tr>
      <w:tr w:rsidR="00DF124F" w:rsidRPr="00F05952" w:rsidTr="00D11DC4">
        <w:trPr>
          <w:trHeight w:hRule="exact" w:val="273"/>
          <w:jc w:val="center"/>
        </w:trPr>
        <w:tc>
          <w:tcPr>
            <w:tcW w:w="2934" w:type="dxa"/>
          </w:tcPr>
          <w:p w:rsidR="00DF124F" w:rsidRPr="00F05952" w:rsidRDefault="00DF124F" w:rsidP="00D11DC4">
            <w:pPr>
              <w:jc w:val="center"/>
              <w:rPr>
                <w:b/>
              </w:rPr>
            </w:pPr>
            <w:r w:rsidRPr="00F05952">
              <w:rPr>
                <w:b/>
              </w:rPr>
              <w:t>dmdavis@acm.org</w:t>
            </w:r>
          </w:p>
        </w:tc>
        <w:tc>
          <w:tcPr>
            <w:tcW w:w="3258" w:type="dxa"/>
          </w:tcPr>
          <w:p w:rsidR="00DF124F" w:rsidRPr="00F05952" w:rsidRDefault="00DF124F" w:rsidP="00D11DC4">
            <w:pPr>
              <w:jc w:val="center"/>
              <w:rPr>
                <w:b/>
              </w:rPr>
            </w:pPr>
            <w:r w:rsidRPr="00F05952">
              <w:rPr>
                <w:b/>
              </w:rPr>
              <w:t>kaimakis@usc.edu</w:t>
            </w:r>
          </w:p>
        </w:tc>
        <w:tc>
          <w:tcPr>
            <w:tcW w:w="2790" w:type="dxa"/>
          </w:tcPr>
          <w:p w:rsidR="00DF124F" w:rsidRPr="00F05952" w:rsidRDefault="00DF124F" w:rsidP="00D11DC4">
            <w:pPr>
              <w:jc w:val="center"/>
              <w:rPr>
                <w:b/>
              </w:rPr>
            </w:pPr>
            <w:r w:rsidRPr="00F05952">
              <w:rPr>
                <w:b/>
              </w:rPr>
              <w:t>pirate612@cablelynx.com</w:t>
            </w:r>
          </w:p>
        </w:tc>
      </w:tr>
    </w:tbl>
    <w:p w:rsidR="00971F3D" w:rsidRPr="00526F7B" w:rsidRDefault="00971F3D" w:rsidP="00971F3D">
      <w:pPr>
        <w:jc w:val="center"/>
        <w:rPr>
          <w:sz w:val="24"/>
          <w:szCs w:val="24"/>
        </w:rPr>
      </w:pPr>
    </w:p>
    <w:p w:rsidR="00810C67" w:rsidRPr="00526F7B" w:rsidRDefault="00580987" w:rsidP="00B624F2">
      <w:pPr>
        <w:pStyle w:val="CritThnHd"/>
        <w:rPr>
          <w:rFonts w:ascii="Times New Roman" w:hAnsi="Times New Roman" w:cs="Times New Roman"/>
        </w:rPr>
      </w:pPr>
      <w:r w:rsidRPr="00526F7B">
        <w:rPr>
          <w:rFonts w:ascii="Times New Roman" w:hAnsi="Times New Roman" w:cs="Times New Roman"/>
        </w:rPr>
        <w:t>Introduction</w:t>
      </w:r>
    </w:p>
    <w:p w:rsidR="00810C67" w:rsidRPr="00526F7B" w:rsidRDefault="00580987" w:rsidP="00580987">
      <w:pPr>
        <w:jc w:val="both"/>
      </w:pPr>
      <w:r w:rsidRPr="00526F7B">
        <w:t>T</w:t>
      </w:r>
      <w:r w:rsidR="00810C67" w:rsidRPr="00526F7B">
        <w:t>his paper will advance three theses: 1) Critical thinking is vital to a strong defense posture; 2) Critical thinking can best be inculcated with skill training: 3) Critical thinking can optimally be implemented with globally accessible computer-aided instruction, especially in the light of current staffing and funding constraints.  While evidence will be adduced to support all three theses, it is acknowledged that a short paper is not the proper vehicle for an irrefutable proof of any of these theses.  The support presented will be both from the authors’ personal research and insights arising out of their own military service and from the community at large.</w:t>
      </w:r>
    </w:p>
    <w:p w:rsidR="00810C67" w:rsidRPr="00526F7B" w:rsidRDefault="00810C67" w:rsidP="00580987">
      <w:pPr>
        <w:jc w:val="both"/>
      </w:pPr>
    </w:p>
    <w:p w:rsidR="00580987" w:rsidRPr="00526F7B" w:rsidRDefault="00810C67" w:rsidP="00580987">
      <w:pPr>
        <w:jc w:val="both"/>
      </w:pPr>
      <w:r w:rsidRPr="00526F7B">
        <w:t>T</w:t>
      </w:r>
      <w:r w:rsidR="00580987" w:rsidRPr="00526F7B">
        <w:t xml:space="preserve">he paper will begin with the definition of some terms that will be used.  This will be followed by examples from history emphasizing the necessity </w:t>
      </w:r>
      <w:r w:rsidR="00B57A4D" w:rsidRPr="00526F7B">
        <w:t>for</w:t>
      </w:r>
      <w:r w:rsidR="00580987" w:rsidRPr="00526F7B">
        <w:t xml:space="preserve"> critical thinking of leaders in the past</w:t>
      </w:r>
      <w:r w:rsidR="00B57A4D" w:rsidRPr="00526F7B">
        <w:t xml:space="preserve"> and present</w:t>
      </w:r>
      <w:r w:rsidR="00524901">
        <w:t>.  T</w:t>
      </w:r>
      <w:r w:rsidRPr="00526F7B">
        <w:t xml:space="preserve">oday’s </w:t>
      </w:r>
      <w:r w:rsidR="00B57A4D" w:rsidRPr="00526F7B">
        <w:t>daunting</w:t>
      </w:r>
      <w:r w:rsidR="00580987" w:rsidRPr="00526F7B">
        <w:t xml:space="preserve"> defense issues </w:t>
      </w:r>
      <w:r w:rsidR="00B57A4D" w:rsidRPr="00526F7B">
        <w:t xml:space="preserve">mandate </w:t>
      </w:r>
      <w:r w:rsidR="00580987" w:rsidRPr="00526F7B">
        <w:t xml:space="preserve">redress by leaders equipped with critical thinking skills. </w:t>
      </w:r>
      <w:r w:rsidR="00211BB8" w:rsidRPr="00526F7B">
        <w:t xml:space="preserve">The authors take the position that this would optimally be a training function.  </w:t>
      </w:r>
      <w:r w:rsidR="00580987" w:rsidRPr="00526F7B">
        <w:t xml:space="preserve">The barrier </w:t>
      </w:r>
      <w:r w:rsidR="00524901">
        <w:t>is that</w:t>
      </w:r>
      <w:r w:rsidR="00580987" w:rsidRPr="00526F7B">
        <w:t xml:space="preserve"> the adoption of these concepts </w:t>
      </w:r>
      <w:r w:rsidR="00524901">
        <w:t>is hampered by</w:t>
      </w:r>
      <w:r w:rsidR="00580987" w:rsidRPr="00526F7B">
        <w:t xml:space="preserve"> an already over-tasked and under-funded defense force. The advantages of computer aided training will be laid out and several existing and emerging technologies will be high-lighted. There are sections on the vision for implementation of such a system and on the envisioned users’ experience. The conclusion will feature the path forward and the effort required for implementation.</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Terminology</w:t>
      </w:r>
    </w:p>
    <w:p w:rsidR="00580987" w:rsidRPr="00526F7B" w:rsidRDefault="00580987" w:rsidP="00580987">
      <w:pPr>
        <w:jc w:val="both"/>
      </w:pPr>
      <w:r w:rsidRPr="00526F7B">
        <w:t xml:space="preserve">As used in this paper, the term critical thinking will refer to that intellectual process that is characterized by being purposeful, reasoned and goal directed, all the while not being disrupted by emotion, prejudice, or mysticism.  This process is invoked to solve problems, formulate inferences, calculate likelihoods, and make decisions. (Halpern, 1997) Critical thinking </w:t>
      </w:r>
      <w:r w:rsidR="00860816" w:rsidRPr="00526F7B">
        <w:t>encompasses</w:t>
      </w:r>
      <w:r w:rsidRPr="00526F7B">
        <w:t xml:space="preserve"> Col. John Boyd’s OODA Loop concept</w:t>
      </w:r>
      <w:r w:rsidR="00860816" w:rsidRPr="00526F7B">
        <w:t xml:space="preserve"> (Coram, 2002)</w:t>
      </w:r>
      <w:r w:rsidRPr="00526F7B">
        <w:t>, which is analy</w:t>
      </w:r>
      <w:r w:rsidR="00860816" w:rsidRPr="00526F7B">
        <w:t>zed</w:t>
      </w:r>
      <w:r w:rsidRPr="00526F7B">
        <w:t xml:space="preserve">. </w:t>
      </w:r>
    </w:p>
    <w:p w:rsidR="00211BB8" w:rsidRPr="00526F7B" w:rsidRDefault="00211BB8" w:rsidP="00580987">
      <w:pPr>
        <w:jc w:val="both"/>
      </w:pPr>
    </w:p>
    <w:p w:rsidR="00211BB8" w:rsidRPr="00526F7B" w:rsidRDefault="00211BB8" w:rsidP="00580987">
      <w:pPr>
        <w:jc w:val="both"/>
      </w:pPr>
      <w:r w:rsidRPr="00526F7B">
        <w:t xml:space="preserve">While the dichotomy </w:t>
      </w:r>
      <w:r w:rsidR="004B794A" w:rsidRPr="00526F7B">
        <w:t>between</w:t>
      </w:r>
      <w:r w:rsidRPr="00526F7B">
        <w:t xml:space="preserve"> the fields of training and education </w:t>
      </w:r>
      <w:r w:rsidR="004B794A" w:rsidRPr="00526F7B">
        <w:t>is</w:t>
      </w:r>
      <w:r w:rsidRPr="00526F7B">
        <w:t xml:space="preserve"> subject to discussion, it is the authors’ position that fostering and enhancing critical thinking is </w:t>
      </w:r>
      <w:r w:rsidR="008F4A7F" w:rsidRPr="00526F7B">
        <w:t>most</w:t>
      </w:r>
      <w:r w:rsidRPr="00526F7B">
        <w:t xml:space="preserve"> amenable to training</w:t>
      </w:r>
      <w:r w:rsidR="008F4A7F" w:rsidRPr="00526F7B">
        <w:t>.</w:t>
      </w:r>
      <w:r w:rsidRPr="00526F7B">
        <w:t xml:space="preserve"> </w:t>
      </w:r>
      <w:r w:rsidR="008F4A7F" w:rsidRPr="00526F7B">
        <w:t>That may be at odds with the notion that</w:t>
      </w:r>
      <w:r w:rsidRPr="00526F7B">
        <w:t xml:space="preserve"> is suggested by the focus on the differing types of education thought to achieve these goals, </w:t>
      </w:r>
      <w:r w:rsidRPr="00526F7B">
        <w:rPr>
          <w:i/>
        </w:rPr>
        <w:t>e.g</w:t>
      </w:r>
      <w:r w:rsidRPr="00526F7B">
        <w:t xml:space="preserve">. the use of Socratic methods or constructivist approaches to education.  The literature seems to support that a directed approach to training a set of steps </w:t>
      </w:r>
      <w:r w:rsidR="004B794A" w:rsidRPr="00526F7B">
        <w:t>for</w:t>
      </w:r>
      <w:r w:rsidRPr="00526F7B">
        <w:t xml:space="preserve"> critical thinking will result in a more reliable inculcation of these skills in the target group. (Lehman &amp; Nisbe</w:t>
      </w:r>
      <w:r w:rsidR="008F4A7F" w:rsidRPr="00526F7B">
        <w:t>t</w:t>
      </w:r>
      <w:r w:rsidRPr="00526F7B">
        <w:t>t, 1990)</w:t>
      </w:r>
      <w:r w:rsidR="008F4A7F" w:rsidRPr="00526F7B">
        <w:t xml:space="preserve"> Naturally, some researchers use different terms for this formal reasoning process.</w:t>
      </w:r>
    </w:p>
    <w:p w:rsidR="00580987" w:rsidRPr="00526F7B" w:rsidRDefault="00580987" w:rsidP="00580987"/>
    <w:p w:rsidR="00580987" w:rsidRPr="00526F7B" w:rsidRDefault="00580987" w:rsidP="00580987">
      <w:pPr>
        <w:jc w:val="both"/>
      </w:pPr>
      <w:r w:rsidRPr="00526F7B">
        <w:t xml:space="preserve">Meta-cognition is a high order intellectual process in which one examines one’s own internal thinking processes and uses that knowledge to: plan future mental activity, monitor the efficacy of that approach, and make corrections as appropriate. Whether driven by intuitive insight or guided by external training, it allows the practitioner to recognize and improve rational contemplation of future actions. (Flavell, 1971) An early approach to using computational technology to enhance meta-cognitive skills was advanced in an earlier paper (Davis, </w:t>
      </w:r>
      <w:r w:rsidRPr="00526F7B">
        <w:rPr>
          <w:i/>
        </w:rPr>
        <w:t>et al.</w:t>
      </w:r>
      <w:r w:rsidRPr="00526F7B">
        <w:t>, 2010)</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Background</w:t>
      </w:r>
      <w:r w:rsidR="00B624F2" w:rsidRPr="00526F7B">
        <w:rPr>
          <w:rFonts w:ascii="Times New Roman" w:hAnsi="Times New Roman" w:cs="Times New Roman"/>
        </w:rPr>
        <w:t xml:space="preserve"> of Critical thinking in defense</w:t>
      </w:r>
    </w:p>
    <w:p w:rsidR="00580987" w:rsidRPr="00526F7B" w:rsidRDefault="00B70367" w:rsidP="00580987">
      <w:pPr>
        <w:jc w:val="both"/>
      </w:pPr>
      <w:r>
        <w:t>Many assert that concern for critical thinking today is central to military effectiveness (Guillot, 2004).</w:t>
      </w:r>
      <w:r w:rsidR="00580987" w:rsidRPr="00526F7B">
        <w:t xml:space="preserve">While it took the Greeks generations to develop the Phalanx (Hanson, 2009) and even longer to develop the ships used at Salamis (Williams, 1968), today’s DoD officer must recognize the need for new defensive tactics, then conceive, develop and field effective measures within a short time window of months or years. While the cited Grecian technologies were effective weapons for millennia, today’s weapons may succumb to obsolescent in a matter of weeks due to counter-measures or societal constraints. </w:t>
      </w:r>
    </w:p>
    <w:p w:rsidR="00580987" w:rsidRPr="00526F7B" w:rsidRDefault="00580987" w:rsidP="00580987">
      <w:pPr>
        <w:jc w:val="both"/>
      </w:pPr>
    </w:p>
    <w:p w:rsidR="00580987" w:rsidRPr="00526F7B" w:rsidRDefault="00580987" w:rsidP="00580987">
      <w:pPr>
        <w:jc w:val="both"/>
      </w:pPr>
      <w:r w:rsidRPr="00526F7B">
        <w:lastRenderedPageBreak/>
        <w:t>Nearly two thousand years after the Grecian tactics and technologies were developed, great masses of Phalanx-like troop formations, now armed with muskets, fought each other at Waterloo using the Napoleonic Infantry Square (Chandler, 2009). The carnage increased fifty years later, due to improved technologies used in the American Civil war. Late in that war, one Major with innate critical thinking skills pointed out that skirmishers, fighting in dispersed formations, gained objectives with far fewer casualties than those suffered by massed formations during frontal assaults. This insight was taken up and championed by Brigadier John Watts de Peyster  (Randolph, 1905) However, that lesson to disperse was not effectively implemented until after the incredible slaughter in the First World War.  But even this dramatic lesson did not cause a general examination of the evaluative process.  The British, among others, had gone into that War relying on tactics they had found useful in their colonial wars. (Scales, 1976) A similar analysis would obtain a scant two decades later in the recalcitrance to accept change by the command structures of both of the great navies in the 1940s’ Pacific war. The Japanese clung to the focus on large capital surface ship tactics despite the dominance of carrier task force capabilities until surface ship losses and carrier operations successes forced their acceptance of the new weapons systems. (Durham, 1998)</w:t>
      </w:r>
    </w:p>
    <w:p w:rsidR="00580987" w:rsidRPr="00526F7B" w:rsidRDefault="00580987" w:rsidP="00580987">
      <w:pPr>
        <w:jc w:val="both"/>
      </w:pPr>
    </w:p>
    <w:p w:rsidR="00580987" w:rsidRPr="00526F7B" w:rsidRDefault="00580987" w:rsidP="00580987">
      <w:pPr>
        <w:jc w:val="both"/>
      </w:pPr>
      <w:r w:rsidRPr="00526F7B">
        <w:t xml:space="preserve">While the U.S. did develop more economical approaches in the use of their personnel, other nations persisted in the use of tactics that led to unimaginable slaughter of their own people, often without the desired result. The losses of the Russians at the battles of Stalingrad and Leningrad (Beevor, 2006), as well as the Japanese sacrifices on Iwo Jima, stand as stark monuments to such horrendous </w:t>
      </w:r>
      <w:r w:rsidR="009D43E0">
        <w:t>expenditures</w:t>
      </w:r>
      <w:r w:rsidRPr="00526F7B">
        <w:t xml:space="preserve"> of life. </w:t>
      </w:r>
      <w:r w:rsidR="009D43E0">
        <w:t>(Bradley, 2000)</w:t>
      </w:r>
    </w:p>
    <w:p w:rsidR="00580987" w:rsidRPr="00526F7B" w:rsidRDefault="00580987" w:rsidP="00580987">
      <w:pPr>
        <w:jc w:val="both"/>
      </w:pPr>
    </w:p>
    <w:p w:rsidR="00580987" w:rsidRPr="00526F7B" w:rsidRDefault="00580987" w:rsidP="00580987">
      <w:pPr>
        <w:jc w:val="both"/>
      </w:pPr>
      <w:r w:rsidRPr="00526F7B">
        <w:t>After that war, the U.S. sought to offset the numerical superiority of the USSR with the destructive power of nuclear weapons and the</w:t>
      </w:r>
      <w:r w:rsidR="00860816" w:rsidRPr="00526F7B">
        <w:t>ir</w:t>
      </w:r>
      <w:r w:rsidRPr="00526F7B">
        <w:t xml:space="preserve"> intercontinental delivery using bombers and then missiles.  A </w:t>
      </w:r>
      <w:r w:rsidR="00FF5ADF">
        <w:t>second offset was effective in</w:t>
      </w:r>
      <w:r w:rsidRPr="00526F7B">
        <w:t xml:space="preserve"> the U.S. use of advanced technology to offset the reduced size of its defense forces in the post-Vietnam era. A third offset is now sought to defray the dangers posed by a new </w:t>
      </w:r>
      <w:r w:rsidR="00860816" w:rsidRPr="00526F7B">
        <w:t>set</w:t>
      </w:r>
      <w:r w:rsidRPr="00526F7B">
        <w:t xml:space="preserve"> of foes </w:t>
      </w:r>
      <w:r w:rsidR="003B0C0E" w:rsidRPr="00526F7B">
        <w:t>that</w:t>
      </w:r>
      <w:r w:rsidRPr="00526F7B">
        <w:t xml:space="preserve"> are often asymmetric in their threat posture and by nation states </w:t>
      </w:r>
      <w:r w:rsidR="003B0C0E" w:rsidRPr="00526F7B">
        <w:t>that</w:t>
      </w:r>
      <w:r w:rsidRPr="00526F7B">
        <w:t xml:space="preserve"> have </w:t>
      </w:r>
      <w:r w:rsidR="004235A8" w:rsidRPr="00526F7B">
        <w:t xml:space="preserve">their own </w:t>
      </w:r>
      <w:r w:rsidRPr="00526F7B">
        <w:t>tech</w:t>
      </w:r>
      <w:r w:rsidR="00860816" w:rsidRPr="00526F7B">
        <w:t>nology capabilities</w:t>
      </w:r>
      <w:r w:rsidRPr="00526F7B">
        <w:t xml:space="preserve">. Like previous changes, this may drive the need for </w:t>
      </w:r>
      <w:r w:rsidR="005B6481">
        <w:t>critical think</w:t>
      </w:r>
      <w:r w:rsidRPr="00526F7B">
        <w:t>ing deeper down into the command structure, making it necessary for even junior personnel.</w:t>
      </w:r>
    </w:p>
    <w:p w:rsidR="00580987" w:rsidRPr="00526F7B" w:rsidRDefault="00580987" w:rsidP="00580987">
      <w:pPr>
        <w:jc w:val="both"/>
      </w:pPr>
    </w:p>
    <w:p w:rsidR="007557CA" w:rsidRDefault="00580987" w:rsidP="00860816">
      <w:pPr>
        <w:jc w:val="both"/>
      </w:pPr>
      <w:r w:rsidRPr="00526F7B">
        <w:t>However, one lesson has been learned, over and over; a nation is at peril if it ignores the invaluable contribution of the first line of leadership, the ones who face the enemy on a personal basis. So fluid is the current situation that rote training, doctrinal imperatives, and reliance on blind obedience do not well serve either the individual or the nation.</w:t>
      </w:r>
      <w:r w:rsidR="0062514C" w:rsidRPr="00526F7B">
        <w:t xml:space="preserve"> But, the past is past; </w:t>
      </w:r>
      <w:r w:rsidR="00BF38C4">
        <w:t>the situation today requires a new vision.</w:t>
      </w:r>
    </w:p>
    <w:p w:rsidR="00BF38C4" w:rsidRDefault="00BF38C4" w:rsidP="00BF38C4"/>
    <w:p w:rsidR="00BF38C4" w:rsidRDefault="00BF38C4" w:rsidP="005322A6">
      <w:pPr>
        <w:jc w:val="both"/>
      </w:pPr>
      <w:r>
        <w:t>More than one military leader has probably asked, "How do we develop thinking skills in tomorrow's leaders?"  The answer</w:t>
      </w:r>
      <w:r w:rsidR="0057548A">
        <w:t xml:space="preserve"> has been stated in many ways.</w:t>
      </w:r>
      <w:r w:rsidR="0057548A" w:rsidRPr="0057548A">
        <w:t xml:space="preserve"> </w:t>
      </w:r>
      <w:r w:rsidR="0057548A">
        <w:t xml:space="preserve">(Guillot, 2004) One senior enlisted </w:t>
      </w:r>
      <w:proofErr w:type="spellStart"/>
      <w:r w:rsidR="0057548A">
        <w:t>warfighter</w:t>
      </w:r>
      <w:proofErr w:type="spellEnd"/>
      <w:r w:rsidR="0057548A">
        <w:t xml:space="preserve"> defined it as:  </w:t>
      </w:r>
      <w:r w:rsidR="00FF5ADF">
        <w:t>“</w:t>
      </w:r>
      <w:r w:rsidR="0057548A">
        <w:t>Q</w:t>
      </w:r>
      <w:r>
        <w:t>uite simply stated</w:t>
      </w:r>
      <w:r w:rsidR="0057548A">
        <w:t>, it</w:t>
      </w:r>
      <w:r>
        <w:t xml:space="preserve"> is to encourage questions regarding specific in</w:t>
      </w:r>
      <w:r w:rsidR="00FF5ADF">
        <w:t>stances and then use a bevy of ‘</w:t>
      </w:r>
      <w:r>
        <w:t>What if</w:t>
      </w:r>
      <w:r w:rsidR="0057548A">
        <w:t>?</w:t>
      </w:r>
      <w:r w:rsidR="00FF5ADF">
        <w:t>’</w:t>
      </w:r>
      <w:r>
        <w:t xml:space="preserve"> scenarios to clarify</w:t>
      </w:r>
      <w:r w:rsidR="0057548A">
        <w:t xml:space="preserve"> the issue under contemplation.”</w:t>
      </w:r>
      <w:r>
        <w:t xml:space="preserve">  Starting this process early in a military career is essential.</w:t>
      </w:r>
      <w:r w:rsidR="0057548A">
        <w:t xml:space="preserve"> </w:t>
      </w:r>
      <w:r w:rsidR="005322A6">
        <w:t xml:space="preserve"> </w:t>
      </w:r>
      <w:r w:rsidR="0057548A">
        <w:t>The authors feel</w:t>
      </w:r>
      <w:r>
        <w:t xml:space="preserve"> that there are two main areas of critical thinking; context free and context dependent. Context dependent concerns only a specific circumstances and is usually the one </w:t>
      </w:r>
      <w:r w:rsidR="005322A6">
        <w:t>with which</w:t>
      </w:r>
      <w:r>
        <w:t xml:space="preserve"> those </w:t>
      </w:r>
      <w:r w:rsidR="0057548A">
        <w:t>who are actively engaged</w:t>
      </w:r>
      <w:r>
        <w:t xml:space="preserve"> will concern themselves.</w:t>
      </w:r>
    </w:p>
    <w:p w:rsidR="005322A6" w:rsidRDefault="005322A6" w:rsidP="005322A6">
      <w:pPr>
        <w:jc w:val="both"/>
      </w:pPr>
    </w:p>
    <w:p w:rsidR="00BF38C4" w:rsidRDefault="00BF38C4" w:rsidP="005322A6">
      <w:pPr>
        <w:jc w:val="both"/>
      </w:pPr>
      <w:r>
        <w:t xml:space="preserve">Context free covers a wide range of possibilities and concerns itself with the overall picture.  As </w:t>
      </w:r>
      <w:r w:rsidR="00457803">
        <w:t>service personnel</w:t>
      </w:r>
      <w:r>
        <w:t xml:space="preserve"> advance in pay grade, responsibility</w:t>
      </w:r>
      <w:r w:rsidR="00457803">
        <w:t xml:space="preserve">, and knowledge, they will and </w:t>
      </w:r>
      <w:r>
        <w:t>should transform to context free critical thinking which will involve many different non specific subjects.</w:t>
      </w:r>
      <w:r w:rsidR="005322A6">
        <w:t xml:space="preserve"> </w:t>
      </w:r>
      <w:r>
        <w:t xml:space="preserve">In </w:t>
      </w:r>
      <w:r w:rsidR="005322A6">
        <w:t>previous eras</w:t>
      </w:r>
      <w:r>
        <w:t>, Officers were mostly college educated while the majority of Enlisted Personnel were seldom educated beyond the high school level.</w:t>
      </w:r>
    </w:p>
    <w:p w:rsidR="00457803" w:rsidRDefault="00457803" w:rsidP="005322A6">
      <w:pPr>
        <w:jc w:val="both"/>
      </w:pPr>
    </w:p>
    <w:p w:rsidR="00BF38C4" w:rsidRDefault="00BF38C4" w:rsidP="005322A6">
      <w:pPr>
        <w:jc w:val="both"/>
      </w:pPr>
      <w:r>
        <w:t>Beginning somewhere in the 1980's, this was no longer the case.  Educational levels increased virtually across the entire military sector.  Jobs that once required mid level (O-4/5) Officer supervision were now being handled by c</w:t>
      </w:r>
      <w:r w:rsidR="00457803">
        <w:t>ollege educated Senior Enlisted personnel,</w:t>
      </w:r>
      <w:r>
        <w:t xml:space="preserve"> which meant that their former tasks were now being performed by </w:t>
      </w:r>
      <w:r w:rsidR="00457803">
        <w:t xml:space="preserve">the next lower rank </w:t>
      </w:r>
      <w:r>
        <w:t>junior personnel.</w:t>
      </w:r>
      <w:r w:rsidR="00457803">
        <w:t xml:space="preserve">  In some of the technical fields, detachments previously led by junior officers were now being led by senior sergeants and chief petty officers.  Their billets of watch section chief and similar position were being filled by E-6 level non-commissioned and petty officers.  At the same time, the pressure </w:t>
      </w:r>
      <w:r w:rsidR="00FF5ADF">
        <w:t xml:space="preserve">on mid-grade enlisted personnel </w:t>
      </w:r>
      <w:r w:rsidR="00457803">
        <w:t>to ear</w:t>
      </w:r>
      <w:r w:rsidR="00FF5ADF">
        <w:t>n</w:t>
      </w:r>
      <w:r w:rsidR="00457803">
        <w:t xml:space="preserve"> associates and bachelor’s degrees was increasing. </w:t>
      </w:r>
      <w:r w:rsidR="009A4C9D">
        <w:t xml:space="preserve"> Military mentors are known to be advising senior enlisted personnel to seek at least an </w:t>
      </w:r>
      <w:r w:rsidR="00FD6486">
        <w:t>associate</w:t>
      </w:r>
      <w:r w:rsidR="009A4C9D">
        <w:t xml:space="preserve"> degree to document educational achievements in order to be competitive for advancement to E-7, 8 or 9.</w:t>
      </w:r>
      <w:r w:rsidR="00457803">
        <w:t xml:space="preserve"> In many fields it is not unusual to find NCO’s and CPO’s with bachelors, and</w:t>
      </w:r>
      <w:r w:rsidR="009A4C9D">
        <w:t xml:space="preserve"> even</w:t>
      </w:r>
      <w:r w:rsidR="00457803">
        <w:t xml:space="preserve"> post-graduate degrees are increasingly appearing in these ranks.</w:t>
      </w:r>
      <w:r w:rsidR="0090163A">
        <w:t xml:space="preserve"> A DoD study from 2015</w:t>
      </w:r>
      <w:r w:rsidR="009A4C9D">
        <w:t xml:space="preserve"> found that </w:t>
      </w:r>
      <w:r w:rsidR="0090163A">
        <w:t>nearly seven</w:t>
      </w:r>
      <w:r w:rsidR="009A4C9D">
        <w:t xml:space="preserve"> percent of enlisted personnel had bachelor’s degrees and one percent had post-graduate degrees.</w:t>
      </w:r>
      <w:r w:rsidR="0090163A">
        <w:t xml:space="preserve">  In a trend analysis, it was found that the number of </w:t>
      </w:r>
      <w:r w:rsidR="003B0C0E">
        <w:t>bachelor’s</w:t>
      </w:r>
      <w:r w:rsidR="0090163A">
        <w:t xml:space="preserve"> degrees amongst the enlisted ranks had nearly doubled in a little more than a decade</w:t>
      </w:r>
      <w:r w:rsidR="00146BCC">
        <w:t xml:space="preserve"> (DoD, 2015)</w:t>
      </w:r>
      <w:r w:rsidR="0090163A">
        <w:t xml:space="preserve">. </w:t>
      </w:r>
    </w:p>
    <w:p w:rsidR="00457803" w:rsidRDefault="00457803" w:rsidP="005322A6">
      <w:pPr>
        <w:jc w:val="both"/>
      </w:pPr>
    </w:p>
    <w:p w:rsidR="00BF38C4" w:rsidRDefault="00BF38C4" w:rsidP="005322A6">
      <w:pPr>
        <w:jc w:val="both"/>
      </w:pPr>
      <w:r>
        <w:t xml:space="preserve">One of the benefits of </w:t>
      </w:r>
      <w:r w:rsidR="009A4C9D">
        <w:t>becoming proficient</w:t>
      </w:r>
      <w:r>
        <w:t xml:space="preserve"> in the critical thinking </w:t>
      </w:r>
      <w:r w:rsidR="00FD6486">
        <w:t>process</w:t>
      </w:r>
      <w:r>
        <w:t xml:space="preserve"> is that </w:t>
      </w:r>
      <w:r w:rsidR="005B6481">
        <w:t>senior enlisted personnel</w:t>
      </w:r>
      <w:r>
        <w:t xml:space="preserve"> may often have </w:t>
      </w:r>
      <w:r w:rsidR="009A4C9D">
        <w:t xml:space="preserve">intimate </w:t>
      </w:r>
      <w:r>
        <w:t>know</w:t>
      </w:r>
      <w:r w:rsidR="005B6481">
        <w:t xml:space="preserve">ledge about a certain task than higher levels of command </w:t>
      </w:r>
      <w:r>
        <w:t xml:space="preserve">might not have.  </w:t>
      </w:r>
      <w:r w:rsidR="00457803">
        <w:t>Anecdotally, the authors are familiar with one Chief Petty Officer who was</w:t>
      </w:r>
      <w:r>
        <w:t xml:space="preserve"> assigned as the Assistant Officer In Charge to develop a new Battle Group Communications system which was loosely based on an existing Air Force program.  During sea trials there were numerous problems retaining comm</w:t>
      </w:r>
      <w:r w:rsidR="00616449">
        <w:t xml:space="preserve">unications continuity </w:t>
      </w:r>
      <w:r>
        <w:t xml:space="preserve">with </w:t>
      </w:r>
      <w:r w:rsidR="00616449">
        <w:t>the</w:t>
      </w:r>
      <w:r>
        <w:t xml:space="preserve"> airborne platform.  After all of the computer programmers </w:t>
      </w:r>
      <w:r w:rsidR="009A4C9D">
        <w:t>were unable to resolve the issue</w:t>
      </w:r>
      <w:r>
        <w:t xml:space="preserve">, </w:t>
      </w:r>
      <w:r w:rsidR="00616449">
        <w:t>the CPO</w:t>
      </w:r>
      <w:r>
        <w:t xml:space="preserve"> and </w:t>
      </w:r>
      <w:r w:rsidR="00616449">
        <w:t>his</w:t>
      </w:r>
      <w:r>
        <w:t xml:space="preserve"> operators</w:t>
      </w:r>
      <w:r w:rsidR="00FD6486">
        <w:t xml:space="preserve"> were asked for input</w:t>
      </w:r>
      <w:r>
        <w:t xml:space="preserve">.  </w:t>
      </w:r>
      <w:r w:rsidR="00616449">
        <w:t xml:space="preserve">The Navy personnel </w:t>
      </w:r>
      <w:r w:rsidR="00FD6486">
        <w:t>inquired of</w:t>
      </w:r>
      <w:r w:rsidR="00616449">
        <w:t xml:space="preserve"> the developers if</w:t>
      </w:r>
      <w:r>
        <w:t xml:space="preserve"> they had reprogrammed the positioning</w:t>
      </w:r>
      <w:r w:rsidR="00616449">
        <w:t xml:space="preserve"> software </w:t>
      </w:r>
      <w:r w:rsidR="009A4C9D">
        <w:t>to take into account the mobility of a Navy s</w:t>
      </w:r>
      <w:r w:rsidR="00616449">
        <w:t>hip.  The contractors</w:t>
      </w:r>
      <w:r>
        <w:t xml:space="preserve"> </w:t>
      </w:r>
      <w:r w:rsidR="00616449">
        <w:t xml:space="preserve">had </w:t>
      </w:r>
      <w:r w:rsidR="009A4C9D">
        <w:t xml:space="preserve">not realized the criticality of </w:t>
      </w:r>
      <w:r>
        <w:t>that</w:t>
      </w:r>
      <w:r w:rsidR="009A4C9D">
        <w:t>.</w:t>
      </w:r>
      <w:r>
        <w:t xml:space="preserve"> </w:t>
      </w:r>
      <w:r w:rsidR="009A4C9D">
        <w:t xml:space="preserve">It was pointed out </w:t>
      </w:r>
      <w:r w:rsidR="00616449">
        <w:t>tha</w:t>
      </w:r>
      <w:r>
        <w:t>t</w:t>
      </w:r>
      <w:r w:rsidR="00616449">
        <w:t xml:space="preserve"> an Air Force base is a fixed point on the globe</w:t>
      </w:r>
      <w:r w:rsidR="005B6481">
        <w:t xml:space="preserve">; </w:t>
      </w:r>
      <w:r>
        <w:t xml:space="preserve">Navy Ships are not stationary.  </w:t>
      </w:r>
      <w:r w:rsidR="00616449">
        <w:t>Upon investigation, it was found that the system</w:t>
      </w:r>
      <w:r>
        <w:t xml:space="preserve"> had</w:t>
      </w:r>
      <w:r w:rsidR="00FD6486">
        <w:t xml:space="preserve"> been programmed with </w:t>
      </w:r>
      <w:r>
        <w:t>the coordinates for Pier 12 in Norfolk, VA as the default</w:t>
      </w:r>
      <w:r w:rsidR="00616449">
        <w:t>,</w:t>
      </w:r>
      <w:r>
        <w:t xml:space="preserve"> when the ship was actually off the coast of South America.</w:t>
      </w:r>
      <w:r w:rsidR="00616449">
        <w:t xml:space="preserve"> Such critical thinking on the part of that CPO and his team were not only expected of them, it was delivered when needed.</w:t>
      </w:r>
      <w:r w:rsidR="00FD6486">
        <w:t xml:space="preserve"> This Navy team was made </w:t>
      </w:r>
      <w:r w:rsidR="005B6481">
        <w:t xml:space="preserve">op </w:t>
      </w:r>
      <w:r w:rsidR="00FD6486">
        <w:t>of intelligence ratings, so were trained in and practiced critical thinking as part of their profession.</w:t>
      </w:r>
    </w:p>
    <w:p w:rsidR="00616449" w:rsidRDefault="00616449" w:rsidP="005322A6">
      <w:pPr>
        <w:jc w:val="both"/>
      </w:pPr>
    </w:p>
    <w:p w:rsidR="00BF38C4" w:rsidRDefault="00675039" w:rsidP="005322A6">
      <w:pPr>
        <w:jc w:val="both"/>
      </w:pPr>
      <w:r>
        <w:t>In considering the need for critical thinking today, the above observations should be coupled</w:t>
      </w:r>
      <w:r w:rsidR="00616449">
        <w:t xml:space="preserve"> with the fact that many senior general and flag officers are now briefed by senior enlisted personnel</w:t>
      </w:r>
      <w:r>
        <w:t>.  These professionals</w:t>
      </w:r>
      <w:r w:rsidR="00616449">
        <w:t xml:space="preserve"> need both the communications skills p</w:t>
      </w:r>
      <w:r>
        <w:t>rovided by higher education and they</w:t>
      </w:r>
      <w:r w:rsidR="00616449">
        <w:t xml:space="preserve"> need to possess the critical thinking skills to be able to respond to fundamental and probing questions with germane and rational answers. </w:t>
      </w:r>
      <w:r w:rsidR="00FE0628">
        <w:t>It is the authors’ opinion that c</w:t>
      </w:r>
      <w:r w:rsidR="00BF38C4">
        <w:t xml:space="preserve">ritical thinking </w:t>
      </w:r>
      <w:r w:rsidR="00FE0628">
        <w:t>is now</w:t>
      </w:r>
      <w:r w:rsidR="00BF38C4">
        <w:t xml:space="preserve"> vital</w:t>
      </w:r>
      <w:r w:rsidR="00FE0628">
        <w:t>, and will be increasingly so in the future</w:t>
      </w:r>
      <w:r w:rsidR="00BF38C4">
        <w:t xml:space="preserve">.  It can and must be learned.  </w:t>
      </w:r>
    </w:p>
    <w:p w:rsidR="005D1B21" w:rsidRPr="00526F7B" w:rsidRDefault="005D1B21" w:rsidP="00860816">
      <w:pPr>
        <w:jc w:val="both"/>
      </w:pPr>
    </w:p>
    <w:p w:rsidR="00580987" w:rsidRPr="00526F7B" w:rsidRDefault="005B6481" w:rsidP="00580987">
      <w:pPr>
        <w:pStyle w:val="CritThnHd"/>
        <w:rPr>
          <w:rFonts w:ascii="Times New Roman" w:hAnsi="Times New Roman" w:cs="Times New Roman"/>
        </w:rPr>
      </w:pPr>
      <w:r>
        <w:rPr>
          <w:rFonts w:ascii="Times New Roman" w:hAnsi="Times New Roman" w:cs="Times New Roman"/>
        </w:rPr>
        <w:t>critical think</w:t>
      </w:r>
      <w:r w:rsidR="00580987" w:rsidRPr="00526F7B">
        <w:rPr>
          <w:rFonts w:ascii="Times New Roman" w:hAnsi="Times New Roman" w:cs="Times New Roman"/>
        </w:rPr>
        <w:t xml:space="preserve">ing Skills </w:t>
      </w:r>
      <w:r w:rsidR="005D1B21" w:rsidRPr="00526F7B">
        <w:rPr>
          <w:rFonts w:ascii="Times New Roman" w:hAnsi="Times New Roman" w:cs="Times New Roman"/>
        </w:rPr>
        <w:t>Training</w:t>
      </w:r>
    </w:p>
    <w:p w:rsidR="00580987" w:rsidRPr="00526F7B" w:rsidRDefault="00580987" w:rsidP="00580987">
      <w:pPr>
        <w:jc w:val="both"/>
      </w:pPr>
      <w:r w:rsidRPr="00526F7B">
        <w:t>Positing the manifest and patent benefits of critical thinking, the question arises as to the possibility of enhancing the skill level in this domain.  It must be acknowledged that there are many factors contributing to critical thinking: genetic inclination, childhood experience, formal training, motivation, and natural selection based on trial and error.</w:t>
      </w:r>
    </w:p>
    <w:p w:rsidR="00CA4571" w:rsidRDefault="00F212E2" w:rsidP="00580987">
      <w:pPr>
        <w:jc w:val="both"/>
      </w:pPr>
      <w:r>
        <w:t xml:space="preserve">Many feel that </w:t>
      </w:r>
      <w:r w:rsidR="005B6481">
        <w:t>critical think</w:t>
      </w:r>
      <w:r>
        <w:t>ing can</w:t>
      </w:r>
      <w:r w:rsidR="00C619A4">
        <w:t xml:space="preserve"> be</w:t>
      </w:r>
      <w:r>
        <w:t xml:space="preserve"> </w:t>
      </w:r>
      <w:r w:rsidRPr="00526F7B">
        <w:t>taught</w:t>
      </w:r>
      <w:r>
        <w:t>, but some are skeptical. (Willingham, 200</w:t>
      </w:r>
      <w:r w:rsidR="00C45C09">
        <w:t>7</w:t>
      </w:r>
      <w:r>
        <w:t xml:space="preserve">) </w:t>
      </w:r>
      <w:r w:rsidR="00580987" w:rsidRPr="00526F7B">
        <w:t xml:space="preserve"> </w:t>
      </w:r>
      <w:r w:rsidR="00D15856">
        <w:t>From the literature, t</w:t>
      </w:r>
      <w:r w:rsidR="00CA4571">
        <w:t xml:space="preserve">he authors </w:t>
      </w:r>
      <w:r w:rsidR="00D15856">
        <w:t>have extracted</w:t>
      </w:r>
      <w:r w:rsidR="00CA4571">
        <w:t xml:space="preserve"> three major ways in which the improvement of </w:t>
      </w:r>
      <w:r w:rsidR="005B6481">
        <w:t>critical think</w:t>
      </w:r>
      <w:r w:rsidR="00CA4571">
        <w:t xml:space="preserve">ing is approached: 1) training a rubric to be followed, 2) forming the process by the Socratic Method, and </w:t>
      </w:r>
      <w:r w:rsidR="00D15856">
        <w:t xml:space="preserve">3) </w:t>
      </w:r>
      <w:r w:rsidR="006C46CB">
        <w:t>using</w:t>
      </w:r>
      <w:r w:rsidR="00CA4571">
        <w:t xml:space="preserve"> constructivist methods emphasizing self-discovery. Many authors report using combinations of these three approaches. This paper does not have the space to resolve the varying benefits of the differing approaches, </w:t>
      </w:r>
      <w:r w:rsidR="00D15856">
        <w:t>(</w:t>
      </w:r>
      <w:proofErr w:type="spellStart"/>
      <w:r w:rsidR="00D15856">
        <w:t>Pither</w:t>
      </w:r>
      <w:proofErr w:type="spellEnd"/>
      <w:r w:rsidR="00D15856">
        <w:t xml:space="preserve"> &amp; </w:t>
      </w:r>
      <w:proofErr w:type="spellStart"/>
      <w:r w:rsidR="00D15856">
        <w:t>Soden</w:t>
      </w:r>
      <w:proofErr w:type="spellEnd"/>
      <w:r w:rsidR="00D15856">
        <w:t xml:space="preserve">, 2000) </w:t>
      </w:r>
      <w:r w:rsidR="00CA4571">
        <w:t xml:space="preserve">but will proceed on the assumption that the rubric training approach may be the most applicable to the defense environment, </w:t>
      </w:r>
      <w:r w:rsidR="000413D5">
        <w:t>all the while</w:t>
      </w:r>
      <w:r w:rsidR="00CA4571">
        <w:t xml:space="preserve"> leaving open the use of the other methods as may be appropriate.</w:t>
      </w:r>
    </w:p>
    <w:p w:rsidR="00CA4571" w:rsidRDefault="00CA4571" w:rsidP="00580987">
      <w:pPr>
        <w:jc w:val="both"/>
      </w:pPr>
    </w:p>
    <w:p w:rsidR="00580987" w:rsidRPr="00526F7B" w:rsidRDefault="00580987" w:rsidP="00580987">
      <w:pPr>
        <w:jc w:val="both"/>
      </w:pPr>
      <w:r w:rsidRPr="00526F7B">
        <w:t xml:space="preserve">Many studies have found that </w:t>
      </w:r>
      <w:r w:rsidR="00CA4571">
        <w:t xml:space="preserve">rubric </w:t>
      </w:r>
      <w:r w:rsidRPr="00526F7B">
        <w:t xml:space="preserve">training is effective.  One found that the students demonstrated an effective use </w:t>
      </w:r>
      <w:proofErr w:type="gramStart"/>
      <w:r w:rsidRPr="00526F7B">
        <w:t>of</w:t>
      </w:r>
      <w:proofErr w:type="gramEnd"/>
      <w:r w:rsidRPr="00526F7B">
        <w:t xml:space="preserve"> the techniques they had learned and effectively displayed it in an encounter during which the researcher did not reveal that they were assessing the subjects’ </w:t>
      </w:r>
      <w:r w:rsidR="005B6481">
        <w:t>critical think</w:t>
      </w:r>
      <w:r w:rsidRPr="00526F7B">
        <w:t xml:space="preserve">ing skills. (Lehman &amp; Nisbet, 1990) One Belgian review of approaches found the multitude of variables made assessing the efficacy of instruction very difficult to adequately quantify in order to allow comparative analysis of the various techniques. (Tiruneh, 2014) A similar study in a professional school setting, nursing, came to virtually the same conclusion.  (Carter, </w:t>
      </w:r>
      <w:r w:rsidRPr="00526F7B">
        <w:rPr>
          <w:i/>
        </w:rPr>
        <w:t>et al.</w:t>
      </w:r>
      <w:r w:rsidRPr="00526F7B">
        <w:t xml:space="preserve">, 2016) This study is especially germane when looking at the stress, time pressures, and criticality of sound decisions that are common to both combat and the emergency room. These all stress the need to rigorously establish and scrupulously monitor skill parameters in any initiative to improve </w:t>
      </w:r>
      <w:r w:rsidR="005B6481">
        <w:t>critical think</w:t>
      </w:r>
      <w:r w:rsidRPr="00526F7B">
        <w:t>ing.</w:t>
      </w:r>
    </w:p>
    <w:p w:rsidR="00580987" w:rsidRPr="00526F7B" w:rsidRDefault="00580987" w:rsidP="00580987">
      <w:pPr>
        <w:jc w:val="both"/>
      </w:pPr>
    </w:p>
    <w:p w:rsidR="00CF4E8F" w:rsidRDefault="00580987" w:rsidP="00580987">
      <w:pPr>
        <w:jc w:val="both"/>
      </w:pPr>
      <w:r w:rsidRPr="00526F7B">
        <w:t xml:space="preserve">There are literally volumes that have been written on the plethora of approaches to defining, enumerating, and teaching </w:t>
      </w:r>
      <w:r w:rsidR="005B6481">
        <w:t>critical think</w:t>
      </w:r>
      <w:r w:rsidRPr="00526F7B">
        <w:t xml:space="preserve">ing. </w:t>
      </w:r>
      <w:r w:rsidR="00070559">
        <w:t xml:space="preserve">(Lai, 2011) </w:t>
      </w:r>
      <w:r w:rsidRPr="00526F7B">
        <w:t xml:space="preserve">Most of these analyses are not set in a military or defense environment, so, while illuminating, they should not be considered controlling.  Given that </w:t>
      </w:r>
      <w:r w:rsidRPr="00526F7B">
        <w:rPr>
          <w:i/>
        </w:rPr>
        <w:t>caveat</w:t>
      </w:r>
      <w:r w:rsidRPr="00526F7B">
        <w:t>, there may be a preliminary consensus on the steps of the process from which a working model can be extracted.  These may be something on the order of:</w:t>
      </w:r>
    </w:p>
    <w:p w:rsidR="00C45C09" w:rsidRPr="00526F7B" w:rsidRDefault="00C45C09" w:rsidP="00580987">
      <w:pPr>
        <w:jc w:val="both"/>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90"/>
      </w:tblGrid>
      <w:tr w:rsidR="00CF4E8F" w:rsidRPr="00526F7B" w:rsidTr="00CF4E8F">
        <w:tc>
          <w:tcPr>
            <w:tcW w:w="3690" w:type="dxa"/>
          </w:tcPr>
          <w:p w:rsidR="00CF4E8F" w:rsidRPr="00526F7B" w:rsidRDefault="00CF4E8F" w:rsidP="000B1857">
            <w:pPr>
              <w:pStyle w:val="ListParagraph"/>
              <w:numPr>
                <w:ilvl w:val="0"/>
                <w:numId w:val="18"/>
              </w:numPr>
              <w:jc w:val="both"/>
            </w:pPr>
            <w:r w:rsidRPr="00526F7B">
              <w:t>Collecting data</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Categorizing and analyzing</w:t>
            </w:r>
          </w:p>
        </w:tc>
      </w:tr>
      <w:tr w:rsidR="00CF4E8F" w:rsidRPr="00526F7B" w:rsidTr="00CF4E8F">
        <w:tc>
          <w:tcPr>
            <w:tcW w:w="3690" w:type="dxa"/>
          </w:tcPr>
          <w:p w:rsidR="00CF4E8F" w:rsidRPr="00526F7B" w:rsidRDefault="00CF4E8F" w:rsidP="000B1857">
            <w:pPr>
              <w:pStyle w:val="ListParagraph"/>
              <w:numPr>
                <w:ilvl w:val="0"/>
                <w:numId w:val="18"/>
              </w:numPr>
              <w:jc w:val="both"/>
            </w:pPr>
            <w:r w:rsidRPr="00526F7B">
              <w:t>Using the insights gained</w:t>
            </w:r>
          </w:p>
        </w:tc>
      </w:tr>
    </w:tbl>
    <w:tbl>
      <w:tblPr>
        <w:tblStyle w:val="TableGrid"/>
        <w:tblpPr w:leftFromText="180" w:rightFromText="180" w:vertAnchor="text" w:horzAnchor="page" w:tblpX="5718" w:tblpY="-7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140"/>
      </w:tblGrid>
      <w:tr w:rsidR="00CF4E8F" w:rsidRPr="00526F7B" w:rsidTr="00CF4E8F">
        <w:tc>
          <w:tcPr>
            <w:tcW w:w="4140" w:type="dxa"/>
          </w:tcPr>
          <w:p w:rsidR="00CF4E8F" w:rsidRPr="00526F7B" w:rsidRDefault="00CF4E8F" w:rsidP="00CF4E8F">
            <w:pPr>
              <w:pStyle w:val="ListParagraph"/>
              <w:numPr>
                <w:ilvl w:val="0"/>
                <w:numId w:val="18"/>
              </w:numPr>
              <w:jc w:val="both"/>
            </w:pPr>
            <w:r w:rsidRPr="00526F7B">
              <w:t>Reviewing initial conclusions</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Combining ideas and expanding uses </w:t>
            </w:r>
          </w:p>
        </w:tc>
      </w:tr>
      <w:tr w:rsidR="00CF4E8F" w:rsidRPr="00526F7B" w:rsidTr="00CF4E8F">
        <w:tc>
          <w:tcPr>
            <w:tcW w:w="4140" w:type="dxa"/>
          </w:tcPr>
          <w:p w:rsidR="00CF4E8F" w:rsidRPr="00526F7B" w:rsidRDefault="00CF4E8F" w:rsidP="00CF4E8F">
            <w:pPr>
              <w:pStyle w:val="ListParagraph"/>
              <w:numPr>
                <w:ilvl w:val="0"/>
                <w:numId w:val="18"/>
              </w:numPr>
              <w:jc w:val="both"/>
            </w:pPr>
            <w:r w:rsidRPr="00526F7B">
              <w:t xml:space="preserve">Internalizing the high order concepts </w:t>
            </w:r>
          </w:p>
        </w:tc>
      </w:tr>
    </w:tbl>
    <w:p w:rsidR="00580987" w:rsidRPr="00526F7B" w:rsidRDefault="00C45C09" w:rsidP="00580987">
      <w:pPr>
        <w:jc w:val="both"/>
      </w:pPr>
      <w:r>
        <w:t xml:space="preserve"> </w:t>
      </w:r>
    </w:p>
    <w:p w:rsidR="00580987" w:rsidRPr="00526F7B" w:rsidRDefault="00580987" w:rsidP="00580987">
      <w:pPr>
        <w:jc w:val="both"/>
      </w:pPr>
      <w:r w:rsidRPr="00526F7B">
        <w:lastRenderedPageBreak/>
        <w:t xml:space="preserve">All this activity must be accomplished in the face of the ever-present human tendency to reject logic for a more comforting environment, where wishes and mythology reign.  The behavioral economists have done much to expose the human frailties along this line. (Kahneman, 2011 and Ariely, 2008) </w:t>
      </w:r>
    </w:p>
    <w:p w:rsidR="00580987" w:rsidRPr="00526F7B" w:rsidRDefault="00580987" w:rsidP="00580987">
      <w:pPr>
        <w:jc w:val="both"/>
      </w:pPr>
    </w:p>
    <w:p w:rsidR="00580987" w:rsidRDefault="00580987" w:rsidP="00580987">
      <w:pPr>
        <w:jc w:val="both"/>
      </w:pPr>
      <w:r w:rsidRPr="00526F7B">
        <w:t xml:space="preserve">Teaching the </w:t>
      </w:r>
      <w:r w:rsidR="005B6481">
        <w:t>critical think</w:t>
      </w:r>
      <w:r w:rsidRPr="00526F7B">
        <w:t xml:space="preserve">ing processes to students had been </w:t>
      </w:r>
      <w:r w:rsidR="00C45C09">
        <w:t>conducted</w:t>
      </w:r>
      <w:r w:rsidRPr="00526F7B">
        <w:t xml:space="preserve"> via a wide range of educational techniques: </w:t>
      </w:r>
    </w:p>
    <w:p w:rsidR="0057548A" w:rsidRPr="00526F7B" w:rsidRDefault="0057548A" w:rsidP="00580987">
      <w:pPr>
        <w:jc w:val="both"/>
      </w:pPr>
    </w:p>
    <w:tbl>
      <w:tblPr>
        <w:tblStyle w:val="TableGrid"/>
        <w:tblW w:w="6030" w:type="dxa"/>
        <w:tblInd w:w="1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880"/>
        <w:gridCol w:w="3150"/>
      </w:tblGrid>
      <w:tr w:rsidR="008D4E4A" w:rsidRPr="00526F7B" w:rsidTr="008D4E4A">
        <w:tc>
          <w:tcPr>
            <w:tcW w:w="2880" w:type="dxa"/>
          </w:tcPr>
          <w:p w:rsidR="008D4E4A" w:rsidRPr="00526F7B" w:rsidRDefault="008D4E4A" w:rsidP="009948E4">
            <w:pPr>
              <w:pStyle w:val="ListParagraph"/>
              <w:numPr>
                <w:ilvl w:val="0"/>
                <w:numId w:val="19"/>
              </w:numPr>
              <w:jc w:val="both"/>
            </w:pPr>
            <w:r w:rsidRPr="00526F7B">
              <w:t>Didactic lectures</w:t>
            </w:r>
          </w:p>
        </w:tc>
        <w:tc>
          <w:tcPr>
            <w:tcW w:w="3150" w:type="dxa"/>
          </w:tcPr>
          <w:p w:rsidR="008D4E4A" w:rsidRPr="00526F7B" w:rsidRDefault="008D4E4A" w:rsidP="006A5060">
            <w:pPr>
              <w:pStyle w:val="ListParagraph"/>
              <w:numPr>
                <w:ilvl w:val="0"/>
                <w:numId w:val="19"/>
              </w:numPr>
              <w:jc w:val="both"/>
            </w:pPr>
            <w:r w:rsidRPr="00526F7B">
              <w:t>Text book exposition</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Small group exercises</w:t>
            </w:r>
          </w:p>
        </w:tc>
        <w:tc>
          <w:tcPr>
            <w:tcW w:w="3150" w:type="dxa"/>
          </w:tcPr>
          <w:p w:rsidR="008D4E4A" w:rsidRPr="00526F7B" w:rsidRDefault="008D4E4A" w:rsidP="006A5060">
            <w:pPr>
              <w:pStyle w:val="ListParagraph"/>
              <w:numPr>
                <w:ilvl w:val="0"/>
                <w:numId w:val="19"/>
              </w:numPr>
              <w:jc w:val="both"/>
            </w:pPr>
            <w:r w:rsidRPr="00526F7B">
              <w:t>Model analyses</w:t>
            </w:r>
          </w:p>
        </w:tc>
      </w:tr>
      <w:tr w:rsidR="008D4E4A" w:rsidRPr="00526F7B" w:rsidTr="008D4E4A">
        <w:tc>
          <w:tcPr>
            <w:tcW w:w="2880" w:type="dxa"/>
          </w:tcPr>
          <w:p w:rsidR="008D4E4A" w:rsidRPr="00526F7B" w:rsidRDefault="008D4E4A" w:rsidP="009948E4">
            <w:pPr>
              <w:pStyle w:val="ListParagraph"/>
              <w:numPr>
                <w:ilvl w:val="0"/>
                <w:numId w:val="19"/>
              </w:numPr>
              <w:jc w:val="both"/>
            </w:pPr>
            <w:r w:rsidRPr="00526F7B">
              <w:t>Text book exposition</w:t>
            </w:r>
          </w:p>
        </w:tc>
        <w:tc>
          <w:tcPr>
            <w:tcW w:w="3150" w:type="dxa"/>
          </w:tcPr>
          <w:p w:rsidR="008D4E4A" w:rsidRPr="00526F7B" w:rsidRDefault="008D4E4A" w:rsidP="006A5060">
            <w:pPr>
              <w:pStyle w:val="ListParagraph"/>
              <w:numPr>
                <w:ilvl w:val="0"/>
                <w:numId w:val="19"/>
              </w:numPr>
              <w:jc w:val="both"/>
            </w:pPr>
            <w:r w:rsidRPr="00526F7B">
              <w:t>Socratic dialogues</w:t>
            </w:r>
          </w:p>
        </w:tc>
      </w:tr>
    </w:tbl>
    <w:p w:rsidR="00580987" w:rsidRPr="00526F7B" w:rsidRDefault="00580987" w:rsidP="00580987">
      <w:pPr>
        <w:jc w:val="both"/>
      </w:pPr>
    </w:p>
    <w:p w:rsidR="00580987" w:rsidRPr="00526F7B" w:rsidRDefault="00580987" w:rsidP="00580987">
      <w:pPr>
        <w:jc w:val="both"/>
      </w:pPr>
      <w:r w:rsidRPr="00526F7B">
        <w:t xml:space="preserve">Note that most of these imply or require the presence of a tutor or lecturer and some of the earlier cited studies on program efficacy note the skill and personality of the instructor play a major role in the success of the educational process. Transferring that process into the active-duty or reserve environment for defense personnel suffers from two major debilities: lack of sufficient qualified engaging instructors and inaccessibility of </w:t>
      </w:r>
      <w:r w:rsidR="00BF1E56">
        <w:t xml:space="preserve">globally </w:t>
      </w:r>
      <w:r w:rsidRPr="00526F7B">
        <w:t xml:space="preserve">dispersed personnel, all of whom are likely to have immutable ops-schedule constraints. In these days of restricted funding, dramatically increasing the number of instructors or swelling the ranks to ease scheduling limitations are infeasible.  </w:t>
      </w:r>
    </w:p>
    <w:p w:rsidR="00580987" w:rsidRPr="00526F7B" w:rsidRDefault="00580987" w:rsidP="00580987">
      <w:pPr>
        <w:jc w:val="both"/>
      </w:pPr>
    </w:p>
    <w:p w:rsidR="00580987" w:rsidRPr="00526F7B" w:rsidRDefault="00580987" w:rsidP="00580987">
      <w:pPr>
        <w:jc w:val="both"/>
      </w:pPr>
      <w:r w:rsidRPr="00526F7B">
        <w:t xml:space="preserve">Further, it has been observed that much of the enthusiasm students have for </w:t>
      </w:r>
      <w:r w:rsidR="00BF1E56">
        <w:t xml:space="preserve">a particular topic </w:t>
      </w:r>
      <w:r w:rsidRPr="00526F7B">
        <w:t xml:space="preserve">is based on their relationship </w:t>
      </w:r>
      <w:r w:rsidR="00BF1E56">
        <w:t>with</w:t>
      </w:r>
      <w:r w:rsidRPr="00526F7B">
        <w:t xml:space="preserve"> the instructor. While there is some commonality as to preferences for instructors, there is also some variability; even the most popular professors have some students with whom they are </w:t>
      </w:r>
      <w:r w:rsidR="00533EBD">
        <w:t>not well matched.</w:t>
      </w:r>
      <w:r w:rsidRPr="00526F7B">
        <w:t xml:space="preserve">  At least in major universities where there are classes with several sections, students </w:t>
      </w:r>
      <w:r w:rsidR="00533EBD">
        <w:t xml:space="preserve">have the option of finding a professor they like, </w:t>
      </w:r>
      <w:r w:rsidRPr="00526F7B">
        <w:t xml:space="preserve"> but the DoD rarely affords this choice to its personnel.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 xml:space="preserve">A Computer-Aided </w:t>
      </w:r>
      <w:r w:rsidR="00B624F2" w:rsidRPr="00526F7B">
        <w:rPr>
          <w:rFonts w:ascii="Times New Roman" w:hAnsi="Times New Roman" w:cs="Times New Roman"/>
        </w:rPr>
        <w:t>Training</w:t>
      </w:r>
      <w:r w:rsidRPr="00526F7B">
        <w:rPr>
          <w:rFonts w:ascii="Times New Roman" w:hAnsi="Times New Roman" w:cs="Times New Roman"/>
        </w:rPr>
        <w:t xml:space="preserve"> </w:t>
      </w:r>
      <w:r w:rsidR="00B624F2" w:rsidRPr="00526F7B">
        <w:rPr>
          <w:rFonts w:ascii="Times New Roman" w:hAnsi="Times New Roman" w:cs="Times New Roman"/>
        </w:rPr>
        <w:t>Approach</w:t>
      </w:r>
    </w:p>
    <w:p w:rsidR="00580987" w:rsidRDefault="00580987" w:rsidP="00580987">
      <w:pPr>
        <w:jc w:val="both"/>
      </w:pPr>
      <w:r w:rsidRPr="00526F7B">
        <w:t xml:space="preserve">Many of the inhibitions mentioned above can be successfully overcome by Computer Aided Education.  New advances in high performance computing, globally distributed computer communications, animated or video-captured avatars, natural language processing, and Human-Computer Interaction technologies can effectively address all of these issues. </w:t>
      </w:r>
    </w:p>
    <w:p w:rsidR="00BF1E56" w:rsidRPr="00526F7B" w:rsidRDefault="00BF1E56" w:rsidP="00580987">
      <w:pPr>
        <w:jc w:val="both"/>
      </w:pPr>
    </w:p>
    <w:p w:rsidR="00945EBA" w:rsidRPr="00526F7B" w:rsidRDefault="00580987" w:rsidP="00580987">
      <w:pPr>
        <w:jc w:val="both"/>
      </w:pPr>
      <w:r w:rsidRPr="00526F7B">
        <w:t xml:space="preserve">A large portion of human communication becomes more compelling, more cogent and more comprehended if presented by a human, (EduNote, 2016) but the provision of humans is expensive and sometimes dangerous, </w:t>
      </w:r>
      <w:r w:rsidRPr="00526F7B">
        <w:rPr>
          <w:i/>
        </w:rPr>
        <w:t>e.g</w:t>
      </w:r>
      <w:r w:rsidRPr="00526F7B">
        <w:t xml:space="preserve">. sending instructional personnel into combat zones.  Technologies conceived, developed, and validated at the Institute of Creative Technologies have fielded very engaging and lifelike conversation computer interfaces. (Reger, </w:t>
      </w:r>
      <w:r w:rsidRPr="00526F7B">
        <w:rPr>
          <w:i/>
        </w:rPr>
        <w:t>et al</w:t>
      </w:r>
      <w:r w:rsidRPr="00526F7B">
        <w:t xml:space="preserve">., 2015) These make use of a wide range of computer capabilities to:  input both typed and spoken words from the user, analyze that content, select the appropriate response to the input, then cue up and display the response on-screen so quickly that it accurately </w:t>
      </w:r>
      <w:proofErr w:type="spellStart"/>
      <w:r w:rsidR="00BF1E56">
        <w:t>emmulates</w:t>
      </w:r>
      <w:proofErr w:type="spellEnd"/>
      <w:r w:rsidRPr="00526F7B">
        <w:t xml:space="preserve"> the pace of a human-to-human conversation (ICT, 2015a). </w:t>
      </w:r>
      <w:r w:rsidR="00945EBA" w:rsidRPr="00526F7B">
        <w:t xml:space="preserve">At ICT, three types of display are used to best communicate with different target audiences, see Figures 1, 2, and 3. </w:t>
      </w:r>
    </w:p>
    <w:p w:rsidR="003A4EEC" w:rsidRPr="00526F7B" w:rsidRDefault="009F300B" w:rsidP="00580987">
      <w:pPr>
        <w:jc w:val="both"/>
      </w:pPr>
      <w:r>
        <w:rPr>
          <w:noProof/>
          <w:lang w:eastAsia="zh-TW"/>
        </w:rPr>
        <w:pict>
          <v:shapetype id="_x0000_t202" coordsize="21600,21600" o:spt="202" path="m,l,21600r21600,l21600,xe">
            <v:stroke joinstyle="miter"/>
            <v:path gradientshapeok="t" o:connecttype="rect"/>
          </v:shapetype>
          <v:shape id="_x0000_s1028" type="#_x0000_t202" style="position:absolute;left:0;text-align:left;margin-left:331.95pt;margin-top:14.9pt;width:163.1pt;height:149.1pt;z-index:251664384;mso-width-relative:margin;mso-height-relative:margin">
            <v:textbox style="mso-next-textbox:#_x0000_s1028">
              <w:txbxContent>
                <w:p w:rsidR="003A4EEC" w:rsidRDefault="003A4EEC" w:rsidP="003A4EEC">
                  <w:pPr>
                    <w:keepNext/>
                    <w:tabs>
                      <w:tab w:val="left" w:pos="1386"/>
                    </w:tabs>
                    <w:jc w:val="center"/>
                  </w:pPr>
                  <w:r>
                    <w:rPr>
                      <w:noProof/>
                    </w:rPr>
                    <w:drawing>
                      <wp:inline distT="0" distB="0" distL="0" distR="0">
                        <wp:extent cx="1936074" cy="1496290"/>
                        <wp:effectExtent l="19050" t="0" r="7026" b="0"/>
                        <wp:docPr id="7" name="Picture 2" descr="DM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MD-2.jpg"/>
                                <pic:cNvPicPr/>
                              </pic:nvPicPr>
                              <pic:blipFill>
                                <a:blip r:embed="rId14"/>
                                <a:srcRect l="1000" r="17000"/>
                                <a:stretch>
                                  <a:fillRect/>
                                </a:stretch>
                              </pic:blipFill>
                              <pic:spPr>
                                <a:xfrm>
                                  <a:off x="0" y="0"/>
                                  <a:ext cx="1933394" cy="1496291"/>
                                </a:xfrm>
                                <a:prstGeom prst="rect">
                                  <a:avLst/>
                                </a:prstGeom>
                              </pic:spPr>
                            </pic:pic>
                          </a:graphicData>
                        </a:graphic>
                      </wp:inline>
                    </w:drawing>
                  </w:r>
                </w:p>
                <w:p w:rsidR="003A4EEC" w:rsidRPr="00945EBA" w:rsidRDefault="003A4EEC" w:rsidP="003A4EEC">
                  <w:pPr>
                    <w:pStyle w:val="Caption"/>
                    <w:jc w:val="center"/>
                    <w:rPr>
                      <w:color w:val="auto"/>
                    </w:rPr>
                  </w:pPr>
                  <w:r w:rsidRPr="00945EBA">
                    <w:rPr>
                      <w:color w:val="auto"/>
                    </w:rPr>
                    <w:t xml:space="preserve">Figure </w:t>
                  </w:r>
                  <w:r w:rsidR="009F300B" w:rsidRPr="00945EBA">
                    <w:rPr>
                      <w:color w:val="auto"/>
                    </w:rPr>
                    <w:fldChar w:fldCharType="begin"/>
                  </w:r>
                  <w:r w:rsidRPr="00945EBA">
                    <w:rPr>
                      <w:color w:val="auto"/>
                    </w:rPr>
                    <w:instrText xml:space="preserve"> SEQ Figure \* ARABIC </w:instrText>
                  </w:r>
                  <w:r w:rsidR="009F300B" w:rsidRPr="00945EBA">
                    <w:rPr>
                      <w:color w:val="auto"/>
                    </w:rPr>
                    <w:fldChar w:fldCharType="separate"/>
                  </w:r>
                  <w:r w:rsidR="007E4DC6">
                    <w:rPr>
                      <w:noProof/>
                      <w:color w:val="auto"/>
                    </w:rPr>
                    <w:t>1</w:t>
                  </w:r>
                  <w:r w:rsidR="009F300B" w:rsidRPr="00945EBA">
                    <w:rPr>
                      <w:color w:val="auto"/>
                    </w:rPr>
                    <w:fldChar w:fldCharType="end"/>
                  </w:r>
                  <w:r w:rsidRPr="00945EBA">
                    <w:rPr>
                      <w:color w:val="auto"/>
                    </w:rPr>
                    <w:t xml:space="preserve"> - Video-taped Interview </w:t>
                  </w:r>
                  <w:r w:rsidRPr="00945EBA">
                    <w:rPr>
                      <w:color w:val="auto"/>
                    </w:rPr>
                    <w:br/>
                    <w:t>Head and Shoulders on monitor</w:t>
                  </w:r>
                </w:p>
                <w:p w:rsidR="003A4EEC" w:rsidRDefault="003A4EEC"/>
              </w:txbxContent>
            </v:textbox>
            <w10:wrap type="square"/>
          </v:shape>
        </w:pict>
      </w:r>
      <w:r>
        <w:rPr>
          <w:noProof/>
          <w:lang w:eastAsia="zh-TW"/>
        </w:rPr>
        <w:pict>
          <v:shape id="_x0000_s1027" type="#_x0000_t202" style="position:absolute;left:0;text-align:left;margin-left:155.7pt;margin-top:14.9pt;width:171pt;height:149.45pt;z-index:251662336;mso-width-relative:margin;mso-height-relative:margin">
            <v:textbox>
              <w:txbxContent>
                <w:p w:rsidR="003A4EEC" w:rsidRDefault="003A4EEC" w:rsidP="003A4EEC">
                  <w:pPr>
                    <w:pStyle w:val="Caption"/>
                    <w:jc w:val="center"/>
                  </w:pPr>
                  <w:r>
                    <w:rPr>
                      <w:noProof/>
                    </w:rPr>
                    <w:drawing>
                      <wp:inline distT="0" distB="0" distL="0" distR="0">
                        <wp:extent cx="1920835" cy="1498626"/>
                        <wp:effectExtent l="19050" t="0" r="3215" b="0"/>
                        <wp:docPr id="5" name="Picture 1" descr="PinchasG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nchasGutter.jpg"/>
                                <pic:cNvPicPr/>
                              </pic:nvPicPr>
                              <pic:blipFill>
                                <a:blip r:embed="rId15"/>
                                <a:srcRect l="15000" r="9000"/>
                                <a:stretch>
                                  <a:fillRect/>
                                </a:stretch>
                              </pic:blipFill>
                              <pic:spPr>
                                <a:xfrm>
                                  <a:off x="0" y="0"/>
                                  <a:ext cx="1919391" cy="1496291"/>
                                </a:xfrm>
                                <a:prstGeom prst="rect">
                                  <a:avLst/>
                                </a:prstGeom>
                              </pic:spPr>
                            </pic:pic>
                          </a:graphicData>
                        </a:graphic>
                      </wp:inline>
                    </w:drawing>
                  </w:r>
                  <w:r w:rsidRPr="003A4EEC">
                    <w:t xml:space="preserve"> </w:t>
                  </w:r>
                  <w:r w:rsidRPr="00945EBA">
                    <w:rPr>
                      <w:color w:val="auto"/>
                    </w:rPr>
                    <w:t xml:space="preserve">Figure </w:t>
                  </w:r>
                  <w:r w:rsidR="009F300B" w:rsidRPr="00945EBA">
                    <w:rPr>
                      <w:color w:val="auto"/>
                    </w:rPr>
                    <w:fldChar w:fldCharType="begin"/>
                  </w:r>
                  <w:r w:rsidRPr="00945EBA">
                    <w:rPr>
                      <w:color w:val="auto"/>
                    </w:rPr>
                    <w:instrText xml:space="preserve"> SEQ Figure \* ARABIC </w:instrText>
                  </w:r>
                  <w:r w:rsidR="009F300B" w:rsidRPr="00945EBA">
                    <w:rPr>
                      <w:color w:val="auto"/>
                    </w:rPr>
                    <w:fldChar w:fldCharType="separate"/>
                  </w:r>
                  <w:r w:rsidR="007E4DC6">
                    <w:rPr>
                      <w:noProof/>
                      <w:color w:val="auto"/>
                    </w:rPr>
                    <w:t>2</w:t>
                  </w:r>
                  <w:r w:rsidR="009F300B" w:rsidRPr="00945EBA">
                    <w:rPr>
                      <w:color w:val="auto"/>
                    </w:rPr>
                    <w:fldChar w:fldCharType="end"/>
                  </w:r>
                  <w:r w:rsidRPr="00945EBA">
                    <w:rPr>
                      <w:color w:val="auto"/>
                    </w:rPr>
                    <w:t xml:space="preserve"> - Video-taped Pinchas Gutter</w:t>
                  </w:r>
                  <w:r w:rsidRPr="00945EBA">
                    <w:rPr>
                      <w:color w:val="auto"/>
                    </w:rPr>
                    <w:br/>
                    <w:t xml:space="preserve">in </w:t>
                  </w:r>
                  <w:r w:rsidR="00BF1E56">
                    <w:rPr>
                      <w:color w:val="auto"/>
                    </w:rPr>
                    <w:t xml:space="preserve">a </w:t>
                  </w:r>
                  <w:r w:rsidRPr="00945EBA">
                    <w:rPr>
                      <w:color w:val="auto"/>
                    </w:rPr>
                    <w:t>Holographic classroom display</w:t>
                  </w:r>
                </w:p>
                <w:p w:rsidR="003A4EEC" w:rsidRDefault="003A4EEC"/>
              </w:txbxContent>
            </v:textbox>
            <w10:wrap type="square"/>
          </v:shape>
        </w:pict>
      </w:r>
      <w:r>
        <w:rPr>
          <w:noProof/>
          <w:lang w:eastAsia="zh-TW"/>
        </w:rPr>
        <w:pict>
          <v:shape id="_x0000_s1026" type="#_x0000_t202" style="position:absolute;left:0;text-align:left;margin-left:-22pt;margin-top:17.3pt;width:172pt;height:147.85pt;z-index:251660288;mso-width-relative:margin;mso-height-relative:margin">
            <v:textbox>
              <w:txbxContent>
                <w:p w:rsidR="003A4EEC" w:rsidRPr="00945EBA" w:rsidRDefault="003A4EEC" w:rsidP="003A4EEC">
                  <w:pPr>
                    <w:pStyle w:val="Caption"/>
                    <w:jc w:val="center"/>
                    <w:rPr>
                      <w:color w:val="auto"/>
                    </w:rPr>
                  </w:pPr>
                  <w:r>
                    <w:rPr>
                      <w:noProof/>
                    </w:rPr>
                    <w:drawing>
                      <wp:inline distT="0" distB="0" distL="0" distR="0">
                        <wp:extent cx="1919063" cy="1478478"/>
                        <wp:effectExtent l="19050" t="0" r="4987" b="0"/>
                        <wp:docPr id="4" name="Picture 0" descr="SimCoa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mCoach.jpg"/>
                                <pic:cNvPicPr/>
                              </pic:nvPicPr>
                              <pic:blipFill>
                                <a:blip r:embed="rId16"/>
                                <a:srcRect l="7000" r="3000"/>
                                <a:stretch>
                                  <a:fillRect/>
                                </a:stretch>
                              </pic:blipFill>
                              <pic:spPr>
                                <a:xfrm>
                                  <a:off x="0" y="0"/>
                                  <a:ext cx="1918121" cy="1478478"/>
                                </a:xfrm>
                                <a:prstGeom prst="rect">
                                  <a:avLst/>
                                </a:prstGeom>
                              </pic:spPr>
                            </pic:pic>
                          </a:graphicData>
                        </a:graphic>
                      </wp:inline>
                    </w:drawing>
                  </w:r>
                  <w:r w:rsidRPr="003A4EEC">
                    <w:t xml:space="preserve"> </w:t>
                  </w:r>
                  <w:r w:rsidRPr="00945EBA">
                    <w:rPr>
                      <w:color w:val="auto"/>
                    </w:rPr>
                    <w:t xml:space="preserve">Figure </w:t>
                  </w:r>
                  <w:r w:rsidR="009F300B" w:rsidRPr="00945EBA">
                    <w:rPr>
                      <w:color w:val="auto"/>
                    </w:rPr>
                    <w:fldChar w:fldCharType="begin"/>
                  </w:r>
                  <w:r w:rsidRPr="00945EBA">
                    <w:rPr>
                      <w:color w:val="auto"/>
                    </w:rPr>
                    <w:instrText xml:space="preserve"> SEQ Figure \* ARABIC </w:instrText>
                  </w:r>
                  <w:r w:rsidR="009F300B" w:rsidRPr="00945EBA">
                    <w:rPr>
                      <w:color w:val="auto"/>
                    </w:rPr>
                    <w:fldChar w:fldCharType="separate"/>
                  </w:r>
                  <w:r w:rsidR="007E4DC6">
                    <w:rPr>
                      <w:noProof/>
                      <w:color w:val="auto"/>
                    </w:rPr>
                    <w:t>3</w:t>
                  </w:r>
                  <w:r w:rsidR="009F300B" w:rsidRPr="00945EBA">
                    <w:rPr>
                      <w:color w:val="auto"/>
                    </w:rPr>
                    <w:fldChar w:fldCharType="end"/>
                  </w:r>
                  <w:r w:rsidRPr="00945EBA">
                    <w:rPr>
                      <w:color w:val="auto"/>
                    </w:rPr>
                    <w:t xml:space="preserve"> - Fully Animated SimCoach </w:t>
                  </w:r>
                  <w:r w:rsidRPr="00945EBA">
                    <w:rPr>
                      <w:color w:val="auto"/>
                    </w:rPr>
                    <w:br/>
                    <w:t>CGI with alternative characters</w:t>
                  </w:r>
                </w:p>
                <w:p w:rsidR="003A4EEC" w:rsidRDefault="003A4EEC"/>
              </w:txbxContent>
            </v:textbox>
            <w10:wrap type="square"/>
          </v:shape>
        </w:pict>
      </w:r>
    </w:p>
    <w:p w:rsidR="00E73C32" w:rsidRPr="00526F7B" w:rsidRDefault="00E73C32" w:rsidP="00580987">
      <w:pPr>
        <w:jc w:val="both"/>
      </w:pPr>
    </w:p>
    <w:p w:rsidR="00580987" w:rsidRPr="00526F7B" w:rsidRDefault="00580987" w:rsidP="00580987">
      <w:pPr>
        <w:jc w:val="both"/>
      </w:pPr>
      <w:r w:rsidRPr="00526F7B">
        <w:t xml:space="preserve">If an animated avatar is used, the appearance of the avatar can easily be altered to present different ages, genders, ethnic appearance and social/military status.  Once this capability is prepared, the avatar can be available to engage in a “one-on-one” conversation with as many users as the servers can support, anywhere in the world there is </w:t>
      </w:r>
      <w:r w:rsidRPr="00526F7B">
        <w:lastRenderedPageBreak/>
        <w:t>network capability. Further, it can be provided at any time and is not seriously disrupted by unanticipat</w:t>
      </w:r>
      <w:r w:rsidR="00BF1E56">
        <w:t>ed breaks in instructional time.  It is</w:t>
      </w:r>
      <w:r w:rsidRPr="00526F7B">
        <w:t xml:space="preserve"> ready to resume where it left off, immediately upon being cued that the user is on-line again.  This 24 by 7 availability and immunization against disruption due to intruding operational requirements addresses the above noted operational constraints.  </w:t>
      </w:r>
    </w:p>
    <w:p w:rsidR="00580987" w:rsidRPr="00526F7B" w:rsidRDefault="00580987" w:rsidP="00580987">
      <w:pPr>
        <w:jc w:val="both"/>
      </w:pPr>
    </w:p>
    <w:p w:rsidR="00580987" w:rsidRPr="00526F7B" w:rsidRDefault="00580987" w:rsidP="00580987">
      <w:pPr>
        <w:jc w:val="both"/>
      </w:pPr>
      <w:r w:rsidRPr="00526F7B">
        <w:t xml:space="preserve">Spawning new avatars requires very little marginal costs, mostly </w:t>
      </w:r>
      <w:r w:rsidR="00BF1E56">
        <w:t xml:space="preserve">some modest </w:t>
      </w:r>
      <w:r w:rsidRPr="00526F7B">
        <w:t>additional computer processing power and storage space. Careful and easily modifiable design characteristics of the avatar also can provide a range of styles and “looks” to satisfy the majority of users’ needs for a mentor fitting their image of a senior advisor.  In fact, they can switch with whom they interface with no penalty in terms of costs or continuity.  While web sites like the Khan Academy (Khan, 2016) offer excellent instruction via written and visual materials, those kinds of interfaces lack the compelling quality of a “face-to-face” conversation with a responsive avatar. Especially in the area of Socratic dialogues, the responsive avatar has been shown to be more arresting</w:t>
      </w:r>
      <w:r w:rsidR="00BF1E56">
        <w:t>,</w:t>
      </w:r>
      <w:r w:rsidRPr="00526F7B">
        <w:t xml:space="preserve"> retain interest of the user longer and elicit more conversational input from the user. (ICT, 2015b)</w:t>
      </w:r>
    </w:p>
    <w:p w:rsidR="00580987" w:rsidRPr="00526F7B" w:rsidRDefault="00580987" w:rsidP="00580987">
      <w:pPr>
        <w:jc w:val="both"/>
      </w:pPr>
    </w:p>
    <w:p w:rsidR="00580987" w:rsidRPr="00526F7B" w:rsidRDefault="00580987" w:rsidP="00580987">
      <w:pPr>
        <w:jc w:val="both"/>
      </w:pPr>
      <w:r w:rsidRPr="00526F7B">
        <w:t xml:space="preserve">So, what would such a system look like and what would be the benefits of such an approach?  This kind of system should be cross-platform compatible, which is easily accomplished with current Web technologies, including detecting the client platform and adjusting for bandwidth constraints.  For the program to attract and retain a large user community, it must be readily accessible from a wide range of platforms and be globally accessible </w:t>
      </w:r>
      <w:r w:rsidR="008D4E4A" w:rsidRPr="00526F7B">
        <w:t>any time</w:t>
      </w:r>
      <w:r w:rsidRPr="00526F7B">
        <w:t xml:space="preserve">.  The authors have supported such efforts in the past and recognize both </w:t>
      </w:r>
      <w:r w:rsidR="008D4E4A" w:rsidRPr="00526F7B">
        <w:t>its</w:t>
      </w:r>
      <w:r w:rsidRPr="00526F7B">
        <w:t xml:space="preserve"> </w:t>
      </w:r>
      <w:r w:rsidR="008D4E4A" w:rsidRPr="00526F7B">
        <w:t>potential and its hurdles</w:t>
      </w:r>
      <w:r w:rsidRPr="00526F7B">
        <w:t xml:space="preserve"> </w:t>
      </w:r>
      <w:r w:rsidRPr="00526F7B">
        <w:rPr>
          <w:i/>
        </w:rPr>
        <w:t>e.g</w:t>
      </w:r>
      <w:r w:rsidRPr="00526F7B">
        <w:t xml:space="preserve">. speed of light induced latencies when server and client are separated on the order of five thousand miles. (Gottschalk </w:t>
      </w:r>
      <w:r w:rsidRPr="00526F7B">
        <w:rPr>
          <w:i/>
        </w:rPr>
        <w:t>et al</w:t>
      </w:r>
      <w:r w:rsidRPr="00526F7B">
        <w:t>., 2010)</w:t>
      </w:r>
      <w:r w:rsidR="00B624F2" w:rsidRPr="00526F7B">
        <w:t xml:space="preserve"> While this </w:t>
      </w:r>
      <w:r w:rsidR="00BF1E56">
        <w:t xml:space="preserve">fielded </w:t>
      </w:r>
      <w:r w:rsidR="00B624F2" w:rsidRPr="00526F7B">
        <w:t>system was d</w:t>
      </w:r>
      <w:r w:rsidR="00266860" w:rsidRPr="00526F7B">
        <w:t xml:space="preserve">esigned to advance analysis and evaluation for the Joint Experimentation, its training function was </w:t>
      </w:r>
      <w:r w:rsidR="00E34147">
        <w:t>lauded</w:t>
      </w:r>
      <w:r w:rsidR="00266860" w:rsidRPr="00526F7B">
        <w:t xml:space="preserve"> by many of the active duty participants who </w:t>
      </w:r>
      <w:r w:rsidR="00E34147">
        <w:t>constituted</w:t>
      </w:r>
      <w:r w:rsidR="00266860" w:rsidRPr="00526F7B">
        <w:t xml:space="preserve"> the “red and blue forces” for the exercises.  The authors observed the total immersion of the personnel in the “combat” on the screens and the enthusiasm with which the participants engaged</w:t>
      </w:r>
      <w:r w:rsidR="00E34147">
        <w:t xml:space="preserve"> in</w:t>
      </w:r>
      <w:r w:rsidR="00266860" w:rsidRPr="00526F7B">
        <w:t xml:space="preserve"> their duties.  One post-exercise celebratory meal was nearly disrupted by a fist fight between the red force team and the blue force team until intercession by the academics present restored civility to the proceedings. </w:t>
      </w:r>
    </w:p>
    <w:p w:rsidR="00266860" w:rsidRPr="00526F7B" w:rsidRDefault="00CA69E8" w:rsidP="00580987">
      <w:pPr>
        <w:jc w:val="both"/>
      </w:pPr>
      <w:r w:rsidRPr="00526F7B">
        <w:rPr>
          <w:noProof/>
        </w:rPr>
        <w:t xml:space="preserve"> </w:t>
      </w:r>
    </w:p>
    <w:p w:rsidR="00266860" w:rsidRPr="00526F7B" w:rsidRDefault="00266860" w:rsidP="00580987">
      <w:pPr>
        <w:jc w:val="both"/>
      </w:pPr>
      <w:r w:rsidRPr="00526F7B">
        <w:t>The trans-continental capabilities of such exercises stand as solid evidence that a global network could reliably provide computer-aided training to advance critical thinking skills.  Figure 4</w:t>
      </w:r>
      <w:r w:rsidR="005B6B1A" w:rsidRPr="00526F7B">
        <w:t xml:space="preserve"> below</w:t>
      </w:r>
      <w:r w:rsidRPr="00526F7B">
        <w:t xml:space="preserve"> shows a notional diagram of the network for one of these exercises and it exhibited round trip latencies well under 500 </w:t>
      </w:r>
      <w:r w:rsidR="00CA69E8" w:rsidRPr="00526F7B">
        <w:t>milliseconds</w:t>
      </w:r>
      <w:r w:rsidRPr="00526F7B">
        <w:t>, which should be adequate for conversational flow.</w:t>
      </w:r>
      <w:r w:rsidR="00CA69E8" w:rsidRPr="00526F7B">
        <w:t xml:space="preserve"> Operators in Virginia could access computer capabilities on Maui with no apparent loss of realism.  There were some issues with use of pointing devices such as mice, as these are susceptible to operator disorientation from latencies even as short as half a second.  </w:t>
      </w:r>
      <w:r w:rsidR="00A566D5">
        <w:t xml:space="preserve">The cursor would move on the local monitor, but the resultant impact on the image, controlled by the remote process, was a quarter second later. </w:t>
      </w:r>
      <w:r w:rsidR="00CA69E8" w:rsidRPr="00526F7B">
        <w:t xml:space="preserve">These issues were met by prepositioning interface data on local computers and caching of instructions.  Conversational delays of this length are not uncommon in everyday speech, so should not raise the same concerns. </w:t>
      </w:r>
      <w:r w:rsidR="005B6B1A" w:rsidRPr="00526F7B">
        <w:t>Bandwidths are not constraining during normal operations and training would be suspended during times of national emergency.</w:t>
      </w:r>
    </w:p>
    <w:p w:rsidR="005B6B1A" w:rsidRPr="00526F7B" w:rsidRDefault="005B6B1A" w:rsidP="00580987">
      <w:pPr>
        <w:jc w:val="both"/>
      </w:pPr>
    </w:p>
    <w:p w:rsidR="005B6B1A" w:rsidRPr="00526F7B" w:rsidRDefault="005B6B1A" w:rsidP="005B6B1A">
      <w:pPr>
        <w:keepNext/>
        <w:jc w:val="center"/>
      </w:pPr>
      <w:r w:rsidRPr="00526F7B">
        <w:rPr>
          <w:noProof/>
        </w:rPr>
        <w:drawing>
          <wp:inline distT="0" distB="0" distL="0" distR="0">
            <wp:extent cx="5105153" cy="2179122"/>
            <wp:effectExtent l="19050" t="0" r="247" b="0"/>
            <wp:docPr id="3" name="Picture 3" descr="TrnsContTestBed-HiResTrnsprnt"/>
            <wp:cNvGraphicFramePr/>
            <a:graphic xmlns:a="http://schemas.openxmlformats.org/drawingml/2006/main">
              <a:graphicData uri="http://schemas.openxmlformats.org/drawingml/2006/picture">
                <pic:pic xmlns:pic="http://schemas.openxmlformats.org/drawingml/2006/picture">
                  <pic:nvPicPr>
                    <pic:cNvPr id="69644" name="Picture 12" descr="TrnsContTestBed-HiResTrnsprnt"/>
                    <pic:cNvPicPr>
                      <a:picLocks noGrp="1" noChangeAspect="1" noChangeArrowheads="1"/>
                    </pic:cNvPicPr>
                  </pic:nvPicPr>
                  <pic:blipFill>
                    <a:blip r:embed="rId17"/>
                    <a:srcRect/>
                    <a:stretch>
                      <a:fillRect/>
                    </a:stretch>
                  </pic:blipFill>
                  <pic:spPr bwMode="auto">
                    <a:xfrm>
                      <a:off x="0" y="0"/>
                      <a:ext cx="5109918" cy="2181156"/>
                    </a:xfrm>
                    <a:prstGeom prst="rect">
                      <a:avLst/>
                    </a:prstGeom>
                    <a:noFill/>
                    <a:ln>
                      <a:miter lim="800000"/>
                      <a:headEnd/>
                      <a:tailEnd/>
                    </a:ln>
                  </pic:spPr>
                </pic:pic>
              </a:graphicData>
            </a:graphic>
          </wp:inline>
        </w:drawing>
      </w:r>
    </w:p>
    <w:p w:rsidR="00580987" w:rsidRPr="00526F7B" w:rsidRDefault="005B6B1A" w:rsidP="00A566D5">
      <w:pPr>
        <w:pStyle w:val="Caption"/>
        <w:jc w:val="center"/>
        <w:rPr>
          <w:color w:val="000000" w:themeColor="text1"/>
        </w:rPr>
      </w:pPr>
      <w:r w:rsidRPr="00526F7B">
        <w:rPr>
          <w:color w:val="000000" w:themeColor="text1"/>
        </w:rPr>
        <w:t xml:space="preserve">Figure </w:t>
      </w:r>
      <w:r w:rsidR="009F300B" w:rsidRPr="00526F7B">
        <w:rPr>
          <w:color w:val="000000" w:themeColor="text1"/>
        </w:rPr>
        <w:fldChar w:fldCharType="begin"/>
      </w:r>
      <w:r w:rsidRPr="00526F7B">
        <w:rPr>
          <w:color w:val="000000" w:themeColor="text1"/>
        </w:rPr>
        <w:instrText xml:space="preserve"> SEQ Figure \* ARABIC </w:instrText>
      </w:r>
      <w:r w:rsidR="009F300B" w:rsidRPr="00526F7B">
        <w:rPr>
          <w:color w:val="000000" w:themeColor="text1"/>
        </w:rPr>
        <w:fldChar w:fldCharType="separate"/>
      </w:r>
      <w:r w:rsidR="007E4DC6">
        <w:rPr>
          <w:noProof/>
          <w:color w:val="000000" w:themeColor="text1"/>
        </w:rPr>
        <w:t>4</w:t>
      </w:r>
      <w:r w:rsidR="009F300B" w:rsidRPr="00526F7B">
        <w:rPr>
          <w:color w:val="000000" w:themeColor="text1"/>
        </w:rPr>
        <w:fldChar w:fldCharType="end"/>
      </w:r>
      <w:r w:rsidRPr="00526F7B">
        <w:rPr>
          <w:color w:val="000000" w:themeColor="text1"/>
        </w:rPr>
        <w:t xml:space="preserve"> - USC-enabled Trans-continental Network </w:t>
      </w:r>
      <w:proofErr w:type="spellStart"/>
      <w:r w:rsidRPr="00526F7B">
        <w:rPr>
          <w:color w:val="000000" w:themeColor="text1"/>
        </w:rPr>
        <w:t>Testbed</w:t>
      </w:r>
      <w:proofErr w:type="spellEnd"/>
      <w:r w:rsidR="00A566D5">
        <w:rPr>
          <w:color w:val="000000" w:themeColor="text1"/>
        </w:rPr>
        <w:t xml:space="preserve">. </w:t>
      </w:r>
      <w:r w:rsidR="00A566D5">
        <w:rPr>
          <w:color w:val="000000" w:themeColor="text1"/>
        </w:rPr>
        <w:br/>
        <w:t xml:space="preserve">Maui to Virginia round trip latencies: 204 </w:t>
      </w:r>
      <w:proofErr w:type="spellStart"/>
      <w:r w:rsidR="00A566D5">
        <w:rPr>
          <w:color w:val="000000" w:themeColor="text1"/>
        </w:rPr>
        <w:t>msec</w:t>
      </w:r>
      <w:proofErr w:type="spellEnd"/>
    </w:p>
    <w:p w:rsidR="00580987" w:rsidRPr="00526F7B" w:rsidRDefault="00580987" w:rsidP="00580987">
      <w:pPr>
        <w:jc w:val="both"/>
      </w:pPr>
      <w:r w:rsidRPr="00526F7B">
        <w:lastRenderedPageBreak/>
        <w:t>Having this infrastructure advantage, the system could present a range of didactic techniques, ranging from pure lecture to interactive tutorial approaches. It could cover historical examples, long a favorite of military educators</w:t>
      </w:r>
      <w:r w:rsidR="00E34147">
        <w:t>,</w:t>
      </w:r>
      <w:r w:rsidRPr="00526F7B">
        <w:t xml:space="preserve"> or futuristic “what if” simulations.  In both cases, the students would be driven by direction from the tutor/mentor to consider their critical thinking strategies and critique their approaches in a meta-cognitive analysis. </w:t>
      </w:r>
    </w:p>
    <w:p w:rsidR="00580987" w:rsidRPr="00526F7B" w:rsidRDefault="00580987" w:rsidP="00580987">
      <w:pPr>
        <w:jc w:val="both"/>
      </w:pPr>
    </w:p>
    <w:p w:rsidR="00580987" w:rsidRPr="00526F7B" w:rsidRDefault="00580987" w:rsidP="00580987">
      <w:pPr>
        <w:jc w:val="both"/>
      </w:pPr>
      <w:r w:rsidRPr="00526F7B">
        <w:t xml:space="preserve">Advanced Artificial Intelligence technologies, especially deep learning  (Deng &amp; Yu, 2014), would allow the system to evaluate new trends in student issues and recommend to programmers the changes needed to make the system increasingly topical and compelling. Simulation techniques would allow application of decisions made by the students in realistic settings, either historical or prospective.  These could be invoked to assess the validity of their decisions.  The outcomes would, of course, be caveated with the warnings that they represent a stochastic representation of the world and outcomes will vary, as they do in real world situations (Wong, </w:t>
      </w:r>
      <w:r w:rsidRPr="00526F7B">
        <w:rPr>
          <w:i/>
        </w:rPr>
        <w:t>et al.</w:t>
      </w:r>
      <w:r w:rsidRPr="00526F7B">
        <w:t xml:space="preserve">, 2007). The major goal is to get the students to become engaged in the habit of continuously analyzing their thought processes and making corrections as the situation mandate. </w:t>
      </w:r>
    </w:p>
    <w:p w:rsidR="00580987" w:rsidRPr="00526F7B" w:rsidRDefault="00580987" w:rsidP="00580987">
      <w:pPr>
        <w:jc w:val="both"/>
      </w:pPr>
    </w:p>
    <w:p w:rsidR="00580987" w:rsidRPr="00526F7B" w:rsidRDefault="00580987" w:rsidP="00580987">
      <w:pPr>
        <w:jc w:val="both"/>
      </w:pPr>
      <w:r w:rsidRPr="00526F7B">
        <w:t xml:space="preserve">For those who are more engaged with tactical duties, the Boyd OODA Loop analyses may be more appropriate.  There are a number of approaches in use that purport to improve OODA Loop performance. Many of these would be readily implementable into the proposed global critical thinking network (von Lubitz </w:t>
      </w:r>
      <w:r w:rsidRPr="00526F7B">
        <w:rPr>
          <w:i/>
        </w:rPr>
        <w:t>et al.,</w:t>
      </w:r>
      <w:r w:rsidRPr="00526F7B">
        <w:t xml:space="preserve"> 2004). Again, high resolution battlefield scenarios would be an excellent vehicle for both training and evaluation.  Experience with America’s Army is an example of how a product designed with an attractive interface and interactive structure could rapidly show its mettle in measurable performance improvement in training levels. (Jean, 2006)</w:t>
      </w:r>
    </w:p>
    <w:p w:rsidR="00580987" w:rsidRPr="00526F7B" w:rsidRDefault="00580987" w:rsidP="00580987">
      <w:pPr>
        <w:jc w:val="both"/>
      </w:pPr>
    </w:p>
    <w:p w:rsidR="00580987" w:rsidRPr="00526F7B" w:rsidRDefault="00580987" w:rsidP="00580987">
      <w:pPr>
        <w:jc w:val="both"/>
      </w:pPr>
      <w:r w:rsidRPr="00526F7B">
        <w:t>The thinking skills taught would make a difference in the way personnel analyze data and take action to improve operations.  In a different setting, skills such as identifying limitations and opportunities were increased four times compared to the skills of subjects who had no training.  Trained subjects were twelve times more likely to propose changes spontaneously. (Holmes, 2015)</w:t>
      </w:r>
    </w:p>
    <w:p w:rsidR="00580987" w:rsidRPr="00526F7B" w:rsidRDefault="00580987" w:rsidP="00580987">
      <w:pPr>
        <w:jc w:val="both"/>
      </w:pPr>
    </w:p>
    <w:p w:rsidR="00580987" w:rsidRPr="00526F7B" w:rsidRDefault="00580987" w:rsidP="00B624F2">
      <w:pPr>
        <w:pStyle w:val="CrtThnSubHd"/>
        <w:rPr>
          <w:rFonts w:ascii="Times New Roman" w:hAnsi="Times New Roman" w:cs="Times New Roman"/>
        </w:rPr>
      </w:pPr>
      <w:r w:rsidRPr="00526F7B">
        <w:rPr>
          <w:rFonts w:ascii="Times New Roman" w:hAnsi="Times New Roman" w:cs="Times New Roman"/>
        </w:rPr>
        <w:t>Implementation Vision</w:t>
      </w:r>
    </w:p>
    <w:p w:rsidR="00580987" w:rsidRPr="00526F7B" w:rsidRDefault="00580987" w:rsidP="00580987">
      <w:pPr>
        <w:jc w:val="both"/>
      </w:pPr>
      <w:r w:rsidRPr="00526F7B">
        <w:t>While there are a wide range of implementation approaches that would satisfy the primary goal of this initiative, the following approach will give some clarity to a future implementation of a new</w:t>
      </w:r>
      <w:r w:rsidR="00E34147">
        <w:t>,</w:t>
      </w:r>
      <w:r w:rsidRPr="00526F7B">
        <w:t xml:space="preserve"> globally accessible critical thinking enhancement system.  The individual technologies are available; implementation requires only system-engineering and careful execution by an experienced military</w:t>
      </w:r>
      <w:r w:rsidR="00E34147">
        <w:t>, industry</w:t>
      </w:r>
      <w:r w:rsidRPr="00526F7B">
        <w:t xml:space="preserve"> and academic research team. A necessary first step would be identifying and parameterizing the goal. Much previous research on this matter will be of use (Garrison, 2001), but the nature of the defense issues requires that these early efforts be assessed by a panel of senior DoD personnel. The primary goal would be the establishment of a consensus view of critical thinking and meta-cognition, leading to a set of accepted measures of the skill sets impinging on those processes.  (Leedom, </w:t>
      </w:r>
      <w:r w:rsidRPr="00526F7B">
        <w:rPr>
          <w:i/>
        </w:rPr>
        <w:t>et al</w:t>
      </w:r>
      <w:r w:rsidRPr="00526F7B">
        <w:t>., 2007)</w:t>
      </w:r>
    </w:p>
    <w:p w:rsidR="00580987" w:rsidRPr="00526F7B" w:rsidRDefault="00580987" w:rsidP="00580987">
      <w:pPr>
        <w:jc w:val="both"/>
      </w:pPr>
    </w:p>
    <w:p w:rsidR="00580987" w:rsidRPr="00526F7B" w:rsidRDefault="00580987" w:rsidP="00580987">
      <w:pPr>
        <w:jc w:val="both"/>
      </w:pPr>
      <w:r w:rsidRPr="00526F7B">
        <w:t xml:space="preserve">Selection of the particular pedagogical approach to enhancing critical thinking skills would also require careful consultation with experienced and proven DoD leaders.  Depending on time and funding constraints, several approaches could be analyzed and the best ones implemented for dissemination on a global basis.  Different learners show a range of amenability to a similarly large range of teaching styles (Dunn &amp; Dunn, 1993).  Even though these are all not available at all times in a single-teacher class room, the pedagogical styles offered to the learner in this system can span the entire spectrum, even, as the Dunns suggest, with the use of a single teacher or avatar.  </w:t>
      </w:r>
    </w:p>
    <w:p w:rsidR="00580987" w:rsidRPr="00526F7B" w:rsidRDefault="00786C4B" w:rsidP="00580987">
      <w:pPr>
        <w:jc w:val="both"/>
      </w:pPr>
      <w:r>
        <w:rPr>
          <w:noProof/>
        </w:rPr>
        <w:drawing>
          <wp:anchor distT="0" distB="0" distL="114300" distR="114300" simplePos="0" relativeHeight="251665408" behindDoc="0" locked="0" layoutInCell="1" allowOverlap="1">
            <wp:simplePos x="0" y="0"/>
            <wp:positionH relativeFrom="column">
              <wp:posOffset>3349625</wp:posOffset>
            </wp:positionH>
            <wp:positionV relativeFrom="paragraph">
              <wp:posOffset>103505</wp:posOffset>
            </wp:positionV>
            <wp:extent cx="2611120" cy="1846580"/>
            <wp:effectExtent l="19050" t="0" r="0" b="0"/>
            <wp:wrapSquare wrapText="bothSides"/>
            <wp:docPr id="10" name="Picture 4" descr="3d"/>
            <wp:cNvGraphicFramePr/>
            <a:graphic xmlns:a="http://schemas.openxmlformats.org/drawingml/2006/main">
              <a:graphicData uri="http://schemas.openxmlformats.org/drawingml/2006/picture">
                <pic:pic xmlns:pic="http://schemas.openxmlformats.org/drawingml/2006/picture">
                  <pic:nvPicPr>
                    <pic:cNvPr id="78851" name="Picture 3" descr="3d"/>
                    <pic:cNvPicPr>
                      <a:picLocks noChangeAspect="1" noChangeArrowheads="1"/>
                    </pic:cNvPicPr>
                  </pic:nvPicPr>
                  <pic:blipFill>
                    <a:blip r:embed="rId18"/>
                    <a:srcRect/>
                    <a:stretch>
                      <a:fillRect/>
                    </a:stretch>
                  </pic:blipFill>
                  <pic:spPr bwMode="auto">
                    <a:xfrm>
                      <a:off x="0" y="0"/>
                      <a:ext cx="2611120" cy="1846580"/>
                    </a:xfrm>
                    <a:prstGeom prst="rect">
                      <a:avLst/>
                    </a:prstGeom>
                    <a:noFill/>
                  </pic:spPr>
                </pic:pic>
              </a:graphicData>
            </a:graphic>
          </wp:anchor>
        </w:drawing>
      </w:r>
    </w:p>
    <w:p w:rsidR="00580987" w:rsidRDefault="009F300B" w:rsidP="00580987">
      <w:pPr>
        <w:jc w:val="both"/>
      </w:pPr>
      <w:r>
        <w:rPr>
          <w:noProof/>
        </w:rPr>
        <w:pict>
          <v:shape id="_x0000_s1031" type="#_x0000_t202" style="position:absolute;left:0;text-align:left;margin-left:248.3pt;margin-top:144.9pt;width:237.05pt;height:11.95pt;z-index:251667456" stroked="f">
            <v:textbox inset="0,0,0,0">
              <w:txbxContent>
                <w:p w:rsidR="00866FC2" w:rsidRPr="00786C4B" w:rsidRDefault="00866FC2" w:rsidP="00866FC2">
                  <w:pPr>
                    <w:pStyle w:val="Caption"/>
                    <w:jc w:val="center"/>
                    <w:rPr>
                      <w:noProof/>
                      <w:color w:val="auto"/>
                      <w:sz w:val="20"/>
                      <w:szCs w:val="20"/>
                    </w:rPr>
                  </w:pPr>
                  <w:r w:rsidRPr="00786C4B">
                    <w:rPr>
                      <w:color w:val="auto"/>
                    </w:rPr>
                    <w:t xml:space="preserve">Figure </w:t>
                  </w:r>
                  <w:r w:rsidR="009F300B" w:rsidRPr="00786C4B">
                    <w:rPr>
                      <w:color w:val="auto"/>
                    </w:rPr>
                    <w:fldChar w:fldCharType="begin"/>
                  </w:r>
                  <w:r w:rsidR="009F300B" w:rsidRPr="00786C4B">
                    <w:rPr>
                      <w:color w:val="auto"/>
                    </w:rPr>
                    <w:instrText xml:space="preserve"> SEQ Figure \* ARABIC </w:instrText>
                  </w:r>
                  <w:r w:rsidR="009F300B" w:rsidRPr="00786C4B">
                    <w:rPr>
                      <w:color w:val="auto"/>
                    </w:rPr>
                    <w:fldChar w:fldCharType="separate"/>
                  </w:r>
                  <w:r w:rsidR="007E4DC6">
                    <w:rPr>
                      <w:noProof/>
                      <w:color w:val="auto"/>
                    </w:rPr>
                    <w:t>5</w:t>
                  </w:r>
                  <w:r w:rsidR="009F300B" w:rsidRPr="00786C4B">
                    <w:rPr>
                      <w:color w:val="auto"/>
                    </w:rPr>
                    <w:fldChar w:fldCharType="end"/>
                  </w:r>
                  <w:r w:rsidR="00786C4B">
                    <w:rPr>
                      <w:color w:val="auto"/>
                    </w:rPr>
                    <w:t xml:space="preserve"> -A Present Day Setting </w:t>
                  </w:r>
                  <w:r w:rsidRPr="00786C4B">
                    <w:rPr>
                      <w:color w:val="auto"/>
                    </w:rPr>
                    <w:t>using JSAF</w:t>
                  </w:r>
                </w:p>
              </w:txbxContent>
            </v:textbox>
            <w10:wrap type="square"/>
          </v:shape>
        </w:pict>
      </w:r>
      <w:r w:rsidR="00580987" w:rsidRPr="00526F7B">
        <w:t>The suggested use of computer-generated simulated situations as a vehicle for improvement requires that some thought be given to the situations that should be implemented.  One solution would be to create a multi-dimensional matrix of these scenarios.  The first dimension would be the scenario’s position in world history. In order to engage and maintain the interest of each participant, having this range of settings could allow each of the users to pick the period of history t</w:t>
      </w:r>
      <w:r w:rsidR="00866FC2" w:rsidRPr="00526F7B">
        <w:t>hat is the most enticing</w:t>
      </w:r>
      <w:r w:rsidR="00580987" w:rsidRPr="00526F7B">
        <w:t xml:space="preserve">.  The impact of America’s Army on training was generated by the original entertainment value of the program, which had been developed as a recruiting tool, not a training program. Having a set of problems from different time periods </w:t>
      </w:r>
      <w:r w:rsidR="00580987" w:rsidRPr="00526F7B">
        <w:lastRenderedPageBreak/>
        <w:t xml:space="preserve">could go a long way to </w:t>
      </w:r>
      <w:r w:rsidR="00866FC2" w:rsidRPr="00526F7B">
        <w:t>retain users</w:t>
      </w:r>
      <w:r w:rsidR="00580987" w:rsidRPr="00526F7B">
        <w:t xml:space="preserve">. The periods offered could be: classical, medieval, Napoleonic, U.S. Civil War, the World Wars, Vietnam and </w:t>
      </w:r>
      <w:r w:rsidR="00E34147">
        <w:t>Iraq/Afghanistan</w:t>
      </w:r>
      <w:r w:rsidR="00580987" w:rsidRPr="00526F7B">
        <w:t xml:space="preserve">. These would </w:t>
      </w:r>
      <w:r w:rsidR="00866FC2" w:rsidRPr="00526F7B">
        <w:t>offer</w:t>
      </w:r>
      <w:r w:rsidR="00580987" w:rsidRPr="00526F7B">
        <w:t xml:space="preserve"> attractive alternatives to personnel with diffe</w:t>
      </w:r>
      <w:r w:rsidR="008D4E4A" w:rsidRPr="00526F7B">
        <w:t>ring personal enthusiasms</w:t>
      </w:r>
      <w:r w:rsidR="00866FC2" w:rsidRPr="00526F7B">
        <w:t xml:space="preserve"> including a “Present Day”</w:t>
      </w:r>
      <w:r w:rsidR="00526F7B">
        <w:t xml:space="preserve"> or future</w:t>
      </w:r>
      <w:r w:rsidR="00866FC2" w:rsidRPr="00526F7B">
        <w:t xml:space="preserve"> setting</w:t>
      </w:r>
      <w:r w:rsidR="00526F7B">
        <w:t>s</w:t>
      </w:r>
      <w:r w:rsidR="008D4E4A" w:rsidRPr="00526F7B">
        <w:t xml:space="preserve">. </w:t>
      </w:r>
    </w:p>
    <w:p w:rsidR="00526F7B" w:rsidRPr="00526F7B" w:rsidRDefault="00526F7B" w:rsidP="00580987">
      <w:pPr>
        <w:jc w:val="both"/>
      </w:pPr>
    </w:p>
    <w:p w:rsidR="00580987" w:rsidRPr="00526F7B" w:rsidRDefault="00580987" w:rsidP="00580987">
      <w:pPr>
        <w:jc w:val="both"/>
      </w:pPr>
      <w:r w:rsidRPr="00526F7B">
        <w:t xml:space="preserve">The next dimension would be the command level of the personnel.  In the officer ranks, this would be something on the order of company grade, field grade and general officer for the Army and the Marine Corps and division officer, commanding officer, and flag officer for the Navy and Coast Guard. Each level would require a careful examination of the issues likely to be faced by officers of that rank.  In the enlisted ranks, modules could be developed for three appropriate ranges, </w:t>
      </w:r>
      <w:r w:rsidRPr="00526F7B">
        <w:rPr>
          <w:i/>
        </w:rPr>
        <w:t>e.g</w:t>
      </w:r>
      <w:r w:rsidRPr="00526F7B">
        <w:t xml:space="preserve">. the Navy might want to trichotomize their training into seamen, petty officers and CPOs. </w:t>
      </w:r>
    </w:p>
    <w:p w:rsidR="00580987" w:rsidRPr="00526F7B" w:rsidRDefault="00580987" w:rsidP="00580987">
      <w:pPr>
        <w:jc w:val="both"/>
      </w:pPr>
    </w:p>
    <w:p w:rsidR="00580987" w:rsidRPr="00526F7B" w:rsidRDefault="00580987" w:rsidP="00580987">
      <w:pPr>
        <w:jc w:val="both"/>
      </w:pPr>
      <w:r w:rsidRPr="00526F7B">
        <w:t xml:space="preserve">The </w:t>
      </w:r>
      <w:r w:rsidR="00860816" w:rsidRPr="00526F7B">
        <w:t>last</w:t>
      </w:r>
      <w:r w:rsidRPr="00526F7B">
        <w:t xml:space="preserve"> dimension is the most open to discussion.  As the program focuses on skills required for critical thinking, these may be parsed out in ways that would suggest or require individual modules to isolate issues and enable quantification of improvement.  This is a research issue worthy of interest.  In any case, the final parametric would </w:t>
      </w:r>
      <w:r w:rsidR="005B7EB5">
        <w:t>arguably</w:t>
      </w:r>
      <w:r w:rsidRPr="00526F7B">
        <w:t xml:space="preserve"> be the ability to synthesize all of the skills effectively to optimize critical thinking. Perhaps a good initial start would be a dimension with loci of emphasis such as: data collection, analysis, decision, action and synthesis </w:t>
      </w:r>
    </w:p>
    <w:p w:rsidR="00580987" w:rsidRPr="00526F7B" w:rsidRDefault="00580987" w:rsidP="00580987">
      <w:pPr>
        <w:jc w:val="both"/>
      </w:pPr>
    </w:p>
    <w:p w:rsidR="00580987" w:rsidRPr="00526F7B" w:rsidRDefault="00580987" w:rsidP="00580987">
      <w:pPr>
        <w:jc w:val="both"/>
      </w:pPr>
      <w:r w:rsidRPr="00526F7B">
        <w:t xml:space="preserve">Following the development of the training and the scenarios, a major feature of this initiative would be the provision of on-going mentorship by avatars.  Whether considered mentors or Socratic tutors, these avatars would require a significant amount of research on their responses, video recording of answers/questions, and editing, in order to provide the seamless interface needed for conversational fluidity.  Previous research has indicated that a response repository on the order of five hundred to fifteen hundred responses is hardly ever stumped by a user.  Considering the eight by nine by five by two (historical period, command level, skill issues, and ground or sea) matrix there are 720 potential programs. Fortunately, many of the appropriate questions will be the same across most of the matrix.  Early research and proof of concept efforts would likely find it propitious to restrict work on just a few historical periods and command levels.  Filling out the rest of the matrix would be relatively </w:t>
      </w:r>
      <w:r w:rsidRPr="00526F7B">
        <w:rPr>
          <w:i/>
        </w:rPr>
        <w:t>pro forma</w:t>
      </w:r>
      <w:r w:rsidRPr="00526F7B">
        <w:t>, with the exception of the creative work on the historical period scenarios.</w:t>
      </w:r>
    </w:p>
    <w:p w:rsidR="00580987" w:rsidRPr="00526F7B" w:rsidRDefault="00580987" w:rsidP="00580987">
      <w:pPr>
        <w:jc w:val="both"/>
      </w:pPr>
    </w:p>
    <w:p w:rsidR="00580987" w:rsidRPr="00526F7B" w:rsidRDefault="004235A8" w:rsidP="00580987">
      <w:pPr>
        <w:jc w:val="both"/>
      </w:pPr>
      <w:r w:rsidRPr="00526F7B">
        <w:t>B</w:t>
      </w:r>
      <w:r w:rsidR="00580987" w:rsidRPr="00526F7B">
        <w:t>oth Socratic teaching and meaningful mentorship involve more</w:t>
      </w:r>
      <w:r w:rsidRPr="00526F7B">
        <w:t xml:space="preserve"> question-</w:t>
      </w:r>
      <w:r w:rsidR="00580987" w:rsidRPr="00526F7B">
        <w:t xml:space="preserve">asking than </w:t>
      </w:r>
      <w:r w:rsidRPr="00526F7B">
        <w:t>direction-</w:t>
      </w:r>
      <w:r w:rsidR="00580987" w:rsidRPr="00526F7B">
        <w:t>giving,</w:t>
      </w:r>
      <w:r w:rsidR="008D4E4A" w:rsidRPr="00526F7B">
        <w:t xml:space="preserve"> so</w:t>
      </w:r>
      <w:r w:rsidR="00580987" w:rsidRPr="00526F7B">
        <w:t xml:space="preserve"> </w:t>
      </w:r>
      <w:r w:rsidR="008D4E4A" w:rsidRPr="00526F7B">
        <w:t>the</w:t>
      </w:r>
      <w:r w:rsidR="00580987" w:rsidRPr="00526F7B">
        <w:t xml:space="preserve"> questions must have</w:t>
      </w:r>
      <w:r w:rsidR="008D4E4A" w:rsidRPr="00526F7B">
        <w:t xml:space="preserve"> a set of</w:t>
      </w:r>
      <w:r w:rsidR="00580987" w:rsidRPr="00526F7B">
        <w:t xml:space="preserve"> cogent follow-on comments prepared for a range of responses.  This is where the capabilities in natural language processing and deep learning algorithms come into play.  Not only must the questions and comments come quickly to sustain the illusion of “humanness” of the avatar, the insights offered must be useful.  Naturally, there must be a series of good “break out” responses if frustration, boredom or antagonism is detected in the user. The user would then be guided to an appropriate live “Master Tutor” for further action.</w:t>
      </w:r>
    </w:p>
    <w:p w:rsidR="00580987" w:rsidRPr="00526F7B" w:rsidRDefault="00580987" w:rsidP="00580987">
      <w:pPr>
        <w:jc w:val="both"/>
      </w:pPr>
    </w:p>
    <w:p w:rsidR="00580987" w:rsidRPr="00526F7B" w:rsidRDefault="00580987" w:rsidP="00580987">
      <w:pPr>
        <w:jc w:val="both"/>
      </w:pPr>
      <w:r w:rsidRPr="00526F7B">
        <w:t xml:space="preserve">The system </w:t>
      </w:r>
      <w:r w:rsidR="005B7EB5">
        <w:t>could be designed</w:t>
      </w:r>
      <w:r w:rsidRPr="00526F7B">
        <w:t xml:space="preserve"> to carefully monitor the initial skill-level of the user, assess their progress, correlate advancement with program content, modify approach or pacing, and </w:t>
      </w:r>
      <w:r w:rsidR="005B7EB5">
        <w:t xml:space="preserve">then </w:t>
      </w:r>
      <w:r w:rsidRPr="00526F7B">
        <w:t xml:space="preserve">report quantified assessments of capabilities for consideration later. A serious ethical issue arises as to whether measures of capability should remain private, be available to current command personnel, or be used as a reporting item on evaluations and fitness reports.  The system could easily be constructed to support whatever decision is made in this realm. </w:t>
      </w:r>
    </w:p>
    <w:p w:rsidR="00580987" w:rsidRPr="00526F7B" w:rsidRDefault="00580987" w:rsidP="00580987">
      <w:pPr>
        <w:jc w:val="both"/>
      </w:pPr>
    </w:p>
    <w:p w:rsidR="00580987" w:rsidRPr="00526F7B" w:rsidRDefault="00580987" w:rsidP="00580987">
      <w:pPr>
        <w:jc w:val="both"/>
      </w:pPr>
      <w:r w:rsidRPr="00526F7B">
        <w:t>While the initial effort would be directed to producing a small portion of the system for test and evaluation purposes, should the system be selected for global distribution, the issue of speed of light/network latencies again becomes critical (Davis</w:t>
      </w:r>
      <w:r w:rsidR="005B7EB5">
        <w:t xml:space="preserve"> </w:t>
      </w:r>
      <w:r w:rsidR="005B7EB5" w:rsidRPr="005B7EB5">
        <w:rPr>
          <w:i/>
        </w:rPr>
        <w:t>et al</w:t>
      </w:r>
      <w:r w:rsidR="005B7EB5">
        <w:t>.</w:t>
      </w:r>
      <w:r w:rsidRPr="00526F7B">
        <w:t xml:space="preserve">, 2006).  Past experience has shown that network latencies were on the order of 250 </w:t>
      </w:r>
      <w:r w:rsidR="00FB7893" w:rsidRPr="00526F7B">
        <w:t>milliseconds</w:t>
      </w:r>
      <w:r w:rsidRPr="00526F7B">
        <w:t xml:space="preserve"> for a five thousand mile round trip circuit</w:t>
      </w:r>
      <w:r w:rsidR="00FB7893" w:rsidRPr="00526F7B">
        <w:t>, see Figure 4 above</w:t>
      </w:r>
      <w:r w:rsidRPr="00526F7B">
        <w:t xml:space="preserve">. Human interaction can support something on the order of 500 milliseconds latency without being discomforted, which would suggest a global system would require on the order of </w:t>
      </w:r>
      <w:r w:rsidR="005B7EB5">
        <w:t>four</w:t>
      </w:r>
      <w:r w:rsidRPr="00526F7B">
        <w:t xml:space="preserve"> strategically placed computer clusters.  Vessels at sea and other stations served only by satellite communications might require a pre-session downloading of the entire module onto local computers or servers, as satellite latencies are too disruptive and will not support the illusion of a “live” avatar.  </w:t>
      </w:r>
    </w:p>
    <w:p w:rsidR="00463055" w:rsidRPr="00526F7B" w:rsidRDefault="00463055" w:rsidP="00580987">
      <w:pPr>
        <w:jc w:val="both"/>
      </w:pPr>
    </w:p>
    <w:p w:rsidR="00255631" w:rsidRPr="00526F7B" w:rsidRDefault="00463055" w:rsidP="00463055">
      <w:pPr>
        <w:jc w:val="both"/>
      </w:pPr>
      <w:r w:rsidRPr="00526F7B">
        <w:t xml:space="preserve">Given the recent development of interactive virtual avatars, there are many causes for concern in regards to the effectiveness of such a system. Within a society accustomed to personal interaction </w:t>
      </w:r>
      <w:r w:rsidR="005B7EB5">
        <w:t>and often suspicious of</w:t>
      </w:r>
      <w:r w:rsidRPr="00526F7B">
        <w:t xml:space="preserve"> technology, </w:t>
      </w:r>
      <w:r w:rsidR="005B7EB5">
        <w:t>some may say that</w:t>
      </w:r>
      <w:r w:rsidRPr="00526F7B">
        <w:t xml:space="preserve"> conversation</w:t>
      </w:r>
      <w:r w:rsidR="005B7EB5">
        <w:t>s</w:t>
      </w:r>
      <w:r w:rsidRPr="00526F7B">
        <w:t xml:space="preserve"> with avatars cannot possibly create the same trust and interest that human conversation</w:t>
      </w:r>
      <w:r w:rsidR="005B7EB5">
        <w:t>s</w:t>
      </w:r>
      <w:r w:rsidRPr="00526F7B">
        <w:t xml:space="preserve"> </w:t>
      </w:r>
      <w:r w:rsidR="005B7EB5">
        <w:t>do</w:t>
      </w:r>
      <w:r w:rsidRPr="00526F7B">
        <w:t xml:space="preserve">. This claim does hold some merit, and it is often the case during the initial interaction of new technologies that the user feels out of place and thrown off by the experience. However, once the user grows accustomed to the </w:t>
      </w:r>
      <w:r w:rsidR="004E0F35">
        <w:t>change</w:t>
      </w:r>
      <w:r w:rsidRPr="00526F7B">
        <w:t xml:space="preserve">, the comfort level rises. The modern commodity of technology is a part of many people’s daily routine, and interaction with </w:t>
      </w:r>
      <w:r w:rsidR="00CF4E8F" w:rsidRPr="00526F7B">
        <w:t>“</w:t>
      </w:r>
      <w:r w:rsidRPr="00526F7B">
        <w:t>chatbots</w:t>
      </w:r>
      <w:r w:rsidR="00CF4E8F" w:rsidRPr="00526F7B">
        <w:t>”</w:t>
      </w:r>
      <w:r w:rsidR="004235A8" w:rsidRPr="00526F7B">
        <w:t xml:space="preserve">, </w:t>
      </w:r>
      <w:r w:rsidR="004235A8" w:rsidRPr="00526F7B">
        <w:rPr>
          <w:i/>
        </w:rPr>
        <w:t>e.g</w:t>
      </w:r>
      <w:r w:rsidR="004235A8" w:rsidRPr="00526F7B">
        <w:t>.</w:t>
      </w:r>
      <w:r w:rsidRPr="00526F7B">
        <w:t xml:space="preserve"> Siri or Google Voice</w:t>
      </w:r>
      <w:r w:rsidR="00CF4E8F" w:rsidRPr="00526F7B">
        <w:t>,</w:t>
      </w:r>
      <w:r w:rsidRPr="00526F7B">
        <w:t xml:space="preserve"> is commonplace. With this </w:t>
      </w:r>
      <w:r w:rsidR="00944BE8" w:rsidRPr="00526F7B">
        <w:t>observation</w:t>
      </w:r>
      <w:r w:rsidRPr="00526F7B">
        <w:t xml:space="preserve"> in </w:t>
      </w:r>
      <w:r w:rsidRPr="00526F7B">
        <w:lastRenderedPageBreak/>
        <w:t xml:space="preserve">place, the concept of interaction with virtual avatars is not so </w:t>
      </w:r>
      <w:r w:rsidR="00255631" w:rsidRPr="00526F7B">
        <w:t>farfetched</w:t>
      </w:r>
      <w:r w:rsidRPr="00526F7B">
        <w:t xml:space="preserve">. In fact, several projects done at the Institute for Creative Technologies have </w:t>
      </w:r>
      <w:r w:rsidR="004235A8" w:rsidRPr="00526F7B">
        <w:t xml:space="preserve">found positive relationships </w:t>
      </w:r>
      <w:r w:rsidRPr="00526F7B">
        <w:t>between virtua</w:t>
      </w:r>
      <w:r w:rsidR="004235A8" w:rsidRPr="00526F7B">
        <w:t>l avatar and user</w:t>
      </w:r>
      <w:r w:rsidRPr="00526F7B">
        <w:t xml:space="preserve">. </w:t>
      </w:r>
    </w:p>
    <w:p w:rsidR="00255631" w:rsidRPr="00526F7B" w:rsidRDefault="00255631" w:rsidP="00463055">
      <w:pPr>
        <w:jc w:val="both"/>
      </w:pPr>
    </w:p>
    <w:p w:rsidR="00463055" w:rsidRPr="00526F7B" w:rsidRDefault="00463055" w:rsidP="00463055">
      <w:pPr>
        <w:jc w:val="both"/>
      </w:pPr>
      <w:r w:rsidRPr="00526F7B">
        <w:t xml:space="preserve">The New Dimensions in Testimony (NDT) project developed an interactive storytelling avatar after interviewing several Holocaust survivors. Students used the technology and evaluated their experience in surveys, “The post-surveys showed that the system gave students a connection to the survivor, kept their attention, and had a positive impact” (Traum </w:t>
      </w:r>
      <w:r w:rsidRPr="00526F7B">
        <w:rPr>
          <w:i/>
        </w:rPr>
        <w:t>et al</w:t>
      </w:r>
      <w:r w:rsidRPr="00526F7B">
        <w:t>.</w:t>
      </w:r>
      <w:r w:rsidR="00860816" w:rsidRPr="00526F7B">
        <w:t>, 2015</w:t>
      </w:r>
      <w:r w:rsidRPr="00526F7B">
        <w:t>). The data gathered from the NDT experiments illustrate that interacting with a virtual avatar is as effective</w:t>
      </w:r>
      <w:r w:rsidR="00860816" w:rsidRPr="00526F7B">
        <w:t>,</w:t>
      </w:r>
      <w:r w:rsidRPr="00526F7B">
        <w:t xml:space="preserve"> if not more effective</w:t>
      </w:r>
      <w:r w:rsidR="00860816" w:rsidRPr="00526F7B">
        <w:t>,</w:t>
      </w:r>
      <w:r w:rsidRPr="00526F7B">
        <w:t xml:space="preserve"> </w:t>
      </w:r>
      <w:r w:rsidR="00860816" w:rsidRPr="00526F7B">
        <w:t>as</w:t>
      </w:r>
      <w:r w:rsidRPr="00526F7B">
        <w:t xml:space="preserve"> interacting with a live survivor</w:t>
      </w:r>
      <w:r w:rsidR="00860816" w:rsidRPr="00526F7B">
        <w:t>, as shown in Table 1 below</w:t>
      </w:r>
      <w:r w:rsidRPr="00526F7B">
        <w:t xml:space="preserve">. Students reported a greater connection with the survivor and predicted that the experience would have an impact on them in the future. Though the live survivor more effectively retained the attention of the users, the system performed very effectively without a major decrease in attention. The interesting story given by the holocaust survivor did not suffer because it was displayed within a new medium, and the interaction proved to be relatable, intriguing, and significant. </w:t>
      </w:r>
    </w:p>
    <w:p w:rsidR="00255631" w:rsidRPr="00526F7B" w:rsidRDefault="00255631" w:rsidP="00463055">
      <w:pPr>
        <w:jc w:val="both"/>
      </w:pPr>
    </w:p>
    <w:tbl>
      <w:tblPr>
        <w:tblW w:w="0" w:type="auto"/>
        <w:tblLook w:val="04A0"/>
      </w:tblPr>
      <w:tblGrid>
        <w:gridCol w:w="5600"/>
        <w:gridCol w:w="1917"/>
        <w:gridCol w:w="1530"/>
      </w:tblGrid>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rPr>
                <w:rFonts w:eastAsiaTheme="minorEastAsia"/>
                <w:sz w:val="18"/>
                <w:szCs w:val="22"/>
              </w:rPr>
            </w:pP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Live survivor (N = 28)</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rsidP="006B0887">
            <w:pPr>
              <w:pStyle w:val="NormalWeb"/>
              <w:spacing w:before="0" w:beforeAutospacing="0" w:after="0" w:afterAutospacing="0"/>
              <w:rPr>
                <w:rFonts w:ascii="Times New Roman" w:hAnsi="Times New Roman" w:cs="Times New Roman"/>
                <w:sz w:val="18"/>
              </w:rPr>
            </w:pPr>
            <w:r w:rsidRPr="00526F7B">
              <w:rPr>
                <w:rFonts w:ascii="Times New Roman" w:hAnsi="Times New Roman" w:cs="Times New Roman"/>
                <w:color w:val="000000"/>
                <w:sz w:val="18"/>
              </w:rPr>
              <w:t>System (N = 25)</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I could connect with the story of the survivor.</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57</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72</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felt that the activity kept my attention.</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100</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80</w:t>
            </w:r>
          </w:p>
        </w:tc>
      </w:tr>
      <w:tr w:rsidR="006B0887" w:rsidRPr="00526F7B" w:rsidTr="006B0887">
        <w:tc>
          <w:tcPr>
            <w:tcW w:w="0" w:type="auto"/>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I think that my experience in this activity will have a positive impact on me.</w:t>
            </w:r>
          </w:p>
        </w:tc>
        <w:tc>
          <w:tcPr>
            <w:tcW w:w="1917"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86</w:t>
            </w:r>
          </w:p>
        </w:tc>
        <w:tc>
          <w:tcPr>
            <w:tcW w:w="1530" w:type="dxa"/>
            <w:tcBorders>
              <w:top w:val="single" w:sz="8" w:space="0" w:color="000000"/>
              <w:left w:val="single" w:sz="8" w:space="0" w:color="000000"/>
              <w:bottom w:val="single" w:sz="8" w:space="0" w:color="000000"/>
              <w:right w:val="single" w:sz="8" w:space="0" w:color="000000"/>
            </w:tcBorders>
            <w:tcMar>
              <w:top w:w="58" w:type="dxa"/>
              <w:left w:w="58" w:type="dxa"/>
              <w:bottom w:w="58" w:type="dxa"/>
              <w:right w:w="58" w:type="dxa"/>
            </w:tcMar>
            <w:hideMark/>
          </w:tcPr>
          <w:p w:rsidR="006B0887" w:rsidRPr="00526F7B" w:rsidRDefault="006B0887">
            <w:pPr>
              <w:pStyle w:val="NormalWeb"/>
              <w:spacing w:before="0" w:beforeAutospacing="0" w:after="0" w:afterAutospacing="0" w:line="0" w:lineRule="atLeast"/>
              <w:rPr>
                <w:rFonts w:ascii="Times New Roman" w:hAnsi="Times New Roman" w:cs="Times New Roman"/>
                <w:sz w:val="18"/>
              </w:rPr>
            </w:pPr>
            <w:r w:rsidRPr="00526F7B">
              <w:rPr>
                <w:rFonts w:ascii="Times New Roman" w:hAnsi="Times New Roman" w:cs="Times New Roman"/>
                <w:color w:val="000000"/>
                <w:sz w:val="18"/>
              </w:rPr>
              <w:t>92</w:t>
            </w:r>
          </w:p>
        </w:tc>
      </w:tr>
    </w:tbl>
    <w:p w:rsidR="00463055" w:rsidRPr="00526F7B" w:rsidRDefault="00463055" w:rsidP="00463055">
      <w:pPr>
        <w:jc w:val="both"/>
      </w:pPr>
    </w:p>
    <w:p w:rsidR="00463055" w:rsidRPr="00526F7B" w:rsidRDefault="006B0887" w:rsidP="00341EFA">
      <w:pPr>
        <w:pStyle w:val="Caption"/>
        <w:keepNext/>
        <w:jc w:val="center"/>
        <w:rPr>
          <w:color w:val="auto"/>
        </w:rPr>
      </w:pPr>
      <w:r w:rsidRPr="00526F7B">
        <w:rPr>
          <w:color w:val="auto"/>
        </w:rPr>
        <w:t xml:space="preserve">Table </w:t>
      </w:r>
      <w:r w:rsidR="009F300B" w:rsidRPr="00526F7B">
        <w:rPr>
          <w:color w:val="auto"/>
        </w:rPr>
        <w:fldChar w:fldCharType="begin"/>
      </w:r>
      <w:r w:rsidRPr="00526F7B">
        <w:rPr>
          <w:color w:val="auto"/>
        </w:rPr>
        <w:instrText xml:space="preserve"> SEQ Table \* ARABIC </w:instrText>
      </w:r>
      <w:r w:rsidR="009F300B" w:rsidRPr="00526F7B">
        <w:rPr>
          <w:color w:val="auto"/>
        </w:rPr>
        <w:fldChar w:fldCharType="separate"/>
      </w:r>
      <w:r w:rsidR="007E4DC6">
        <w:rPr>
          <w:noProof/>
          <w:color w:val="auto"/>
        </w:rPr>
        <w:t>1</w:t>
      </w:r>
      <w:r w:rsidR="009F300B" w:rsidRPr="00526F7B">
        <w:rPr>
          <w:color w:val="auto"/>
        </w:rPr>
        <w:fldChar w:fldCharType="end"/>
      </w:r>
      <w:r w:rsidRPr="00526F7B">
        <w:rPr>
          <w:color w:val="auto"/>
        </w:rPr>
        <w:t xml:space="preserve"> </w:t>
      </w:r>
      <w:r w:rsidR="00463055" w:rsidRPr="00526F7B">
        <w:rPr>
          <w:color w:val="auto"/>
        </w:rPr>
        <w:t xml:space="preserve">Percent of students rating the statements as “Strongly agree” or “Agree”. </w:t>
      </w:r>
      <w:r w:rsidR="00255631" w:rsidRPr="00526F7B">
        <w:rPr>
          <w:color w:val="auto"/>
        </w:rPr>
        <w:t>(</w:t>
      </w:r>
      <w:r w:rsidR="00463055" w:rsidRPr="00526F7B">
        <w:rPr>
          <w:color w:val="auto"/>
        </w:rPr>
        <w:t xml:space="preserve">Traum </w:t>
      </w:r>
      <w:r w:rsidR="00463055" w:rsidRPr="00526F7B">
        <w:rPr>
          <w:i/>
          <w:color w:val="auto"/>
        </w:rPr>
        <w:t>et al</w:t>
      </w:r>
      <w:r w:rsidR="00255631" w:rsidRPr="00526F7B">
        <w:rPr>
          <w:color w:val="auto"/>
        </w:rPr>
        <w:t>., 2015</w:t>
      </w:r>
      <w:r w:rsidR="00463055" w:rsidRPr="00526F7B">
        <w:rPr>
          <w:color w:val="auto"/>
        </w:rPr>
        <w:t>.</w:t>
      </w:r>
      <w:r w:rsidR="00255631" w:rsidRPr="00526F7B">
        <w:rPr>
          <w:color w:val="auto"/>
        </w:rPr>
        <w:t>)</w:t>
      </w:r>
    </w:p>
    <w:p w:rsidR="00463055" w:rsidRPr="00526F7B" w:rsidRDefault="00463055" w:rsidP="00463055">
      <w:pPr>
        <w:jc w:val="both"/>
      </w:pPr>
      <w:r w:rsidRPr="00526F7B">
        <w:t>Beyond NDT, the SimCoach project, also developed at ICT, hypothesized that users would be more willing to trust and interact on a personal level with a virtual avatar than with another human. The reason for this is that an interaction with an avatar contains no human judgment, whereas an interpersonal human conversation would suffer from the fear of judgment. After testing one interaction in which subjects were told that they were being observed and one in which they were not, the study demonstrated, “[Virtual Humans] are able to have this impact because they allow patients to feel as though their responses are not currently being judged. Because the only difference between frames was the belief that another human was observing responses during the interview session, we can establish that the power of VH-interviewers to elicit more honest responding comes from the sense that no one is observing or judging” (Lucas</w:t>
      </w:r>
      <w:r w:rsidR="00255631" w:rsidRPr="00526F7B">
        <w:t>, G.</w:t>
      </w:r>
      <w:r w:rsidRPr="00526F7B">
        <w:t xml:space="preserve"> </w:t>
      </w:r>
      <w:r w:rsidRPr="00526F7B">
        <w:rPr>
          <w:i/>
        </w:rPr>
        <w:t>et al</w:t>
      </w:r>
      <w:r w:rsidRPr="00526F7B">
        <w:t xml:space="preserve">.). To this effect, it is likely that interactions with virtual avatars actually elicit a greater degree of trust than human interaction. Using the frame of a virtual avatar has been shown to be effective in increasing trust, all the while retaining an unaffected interest from the user. </w:t>
      </w:r>
      <w:r w:rsidR="00CF4E8F" w:rsidRPr="00526F7B">
        <w:t>In the SimCoach project, the avatar retained interest more than a live coach. (ICT, 2015)</w:t>
      </w:r>
    </w:p>
    <w:p w:rsidR="00255631" w:rsidRPr="00526F7B" w:rsidRDefault="00255631" w:rsidP="00463055">
      <w:pPr>
        <w:jc w:val="both"/>
      </w:pPr>
    </w:p>
    <w:p w:rsidR="00255631" w:rsidRPr="00526F7B" w:rsidRDefault="00463055" w:rsidP="00463055">
      <w:pPr>
        <w:jc w:val="both"/>
      </w:pPr>
      <w:r w:rsidRPr="00526F7B">
        <w:t>Another concern regarding the effectiveness of virtual humans comes in the misconception that the lack of faultless automated speech recognition</w:t>
      </w:r>
      <w:r w:rsidR="00255631" w:rsidRPr="00526F7B">
        <w:t xml:space="preserve"> </w:t>
      </w:r>
      <w:r w:rsidR="004E0F35">
        <w:t>(ASR) may render</w:t>
      </w:r>
      <w:r w:rsidRPr="00526F7B">
        <w:t xml:space="preserve"> successful virtual human interaction ineffective. The merit for this concern is that if a system does not understand </w:t>
      </w:r>
      <w:r w:rsidR="004E0F35">
        <w:t>a</w:t>
      </w:r>
      <w:r w:rsidRPr="00526F7B">
        <w:t xml:space="preserve"> question, how can it provide an effective response? The answer to this question comes in three parts. First, even without an entirely precise transcription of user utterances, a response classifier can still generate an adequately accurate reply. The classifier chooses the best matching response based on the input it receives compared to the bank of answers that it contains. As such, even an incomplete recognition of user utterances can provide enough context to determine a feasible answer</w:t>
      </w:r>
      <w:r w:rsidR="00075DB3" w:rsidRPr="00526F7B">
        <w:t>.</w:t>
      </w:r>
      <w:r w:rsidRPr="00526F7B">
        <w:t xml:space="preserve"> Second, even if the response isn’t an exact match, as l</w:t>
      </w:r>
      <w:r w:rsidR="004E0F35">
        <w:t>ong as it is not completely off-</w:t>
      </w:r>
      <w:r w:rsidRPr="00526F7B">
        <w:t xml:space="preserve">base, the answer will likely satisfy the user. It is unlikely that the voice recognition entirely misinterprets user input, and with even limited context, the classifier can provide appropriate feedback. </w:t>
      </w:r>
      <w:r w:rsidR="004E0F35">
        <w:t>Third, even in live speech, misunderstanding is common</w:t>
      </w:r>
    </w:p>
    <w:p w:rsidR="00255631" w:rsidRPr="00526F7B" w:rsidRDefault="00255631" w:rsidP="00463055">
      <w:pPr>
        <w:jc w:val="both"/>
      </w:pPr>
    </w:p>
    <w:p w:rsidR="00463055" w:rsidRPr="00526F7B" w:rsidRDefault="00463055" w:rsidP="00463055">
      <w:pPr>
        <w:jc w:val="both"/>
      </w:pPr>
      <w:r w:rsidRPr="00526F7B">
        <w:t xml:space="preserve">Because such classifiers determine the probabilities that each response matches the given input, </w:t>
      </w:r>
      <w:r w:rsidR="004E0F35">
        <w:t>avoiding answers recently given</w:t>
      </w:r>
      <w:r w:rsidRPr="00526F7B">
        <w:t>, the system will still determine a reasonable match based on the information it has. As such, even limited recognition results in somewhat suitable responses, which illustrate to the user t</w:t>
      </w:r>
      <w:r w:rsidR="00F257E1">
        <w:t>hat the system did generally</w:t>
      </w:r>
      <w:r w:rsidRPr="00526F7B">
        <w:t xml:space="preserve"> identify the theme of the user’s prompt. Even such small evidence gives the user the impression of comprehension by the virtual avatar. Finally, on top of the fact that effective classifiers can provide accurate responses despite limited or incorrect recognition, current ASR technologies are rapidly approaching a</w:t>
      </w:r>
      <w:r w:rsidR="00C245B0" w:rsidRPr="00526F7B">
        <w:t>n acceptably</w:t>
      </w:r>
      <w:r w:rsidRPr="00526F7B">
        <w:t xml:space="preserve"> accurate response rate. A study done by Andrew Kudryavtsev showed that Google’s ASR was the most accurate, “Google achieved 73.3% of exact recognized phrases with a 15.8% [Word Error Rate]” (Kudryavtsev</w:t>
      </w:r>
      <w:r w:rsidR="00255631" w:rsidRPr="00526F7B">
        <w:t>, 2016</w:t>
      </w:r>
      <w:r w:rsidRPr="00526F7B">
        <w:t xml:space="preserve">). </w:t>
      </w:r>
      <w:r w:rsidR="00C245B0" w:rsidRPr="00526F7B">
        <w:t>When combined with</w:t>
      </w:r>
      <w:r w:rsidRPr="00526F7B">
        <w:t xml:space="preserve"> natural language processing technologies</w:t>
      </w:r>
      <w:r w:rsidR="00C245B0" w:rsidRPr="00526F7B">
        <w:t>, all these processes</w:t>
      </w:r>
      <w:r w:rsidRPr="00526F7B">
        <w:t xml:space="preserve"> continue to improve and are already at a point where they are quite </w:t>
      </w:r>
      <w:r w:rsidR="00C245B0" w:rsidRPr="00526F7B">
        <w:t>useful</w:t>
      </w:r>
      <w:r w:rsidRPr="00526F7B">
        <w:t xml:space="preserve">. Considering all of these factors, natural language processing and virtual interaction </w:t>
      </w:r>
      <w:r w:rsidR="00C245B0" w:rsidRPr="00526F7B">
        <w:t>are</w:t>
      </w:r>
      <w:r w:rsidRPr="00526F7B">
        <w:t xml:space="preserve"> </w:t>
      </w:r>
      <w:r w:rsidRPr="00526F7B">
        <w:lastRenderedPageBreak/>
        <w:t>reaching level</w:t>
      </w:r>
      <w:r w:rsidR="00C245B0" w:rsidRPr="00526F7B">
        <w:t>s</w:t>
      </w:r>
      <w:r w:rsidRPr="00526F7B">
        <w:t xml:space="preserve"> wherein virtual agents can, to a </w:t>
      </w:r>
      <w:r w:rsidR="00C245B0" w:rsidRPr="00526F7B">
        <w:t>degree sufficient to support conversation</w:t>
      </w:r>
      <w:r w:rsidRPr="00526F7B">
        <w:t>, comprehend and interact productively with</w:t>
      </w:r>
      <w:r w:rsidR="00C245B0" w:rsidRPr="00526F7B">
        <w:t xml:space="preserve"> live</w:t>
      </w:r>
      <w:r w:rsidRPr="00526F7B">
        <w:t xml:space="preserve"> humans</w:t>
      </w:r>
      <w:r w:rsidR="00C245B0" w:rsidRPr="00526F7B">
        <w:t>, who also have a “word error rate.”</w:t>
      </w:r>
      <w:r w:rsidRPr="00526F7B">
        <w:t xml:space="preserve">. </w:t>
      </w:r>
    </w:p>
    <w:p w:rsidR="00463055" w:rsidRPr="00526F7B" w:rsidRDefault="00463055" w:rsidP="00463055">
      <w:pPr>
        <w:jc w:val="both"/>
      </w:pP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Operational Vision</w:t>
      </w:r>
    </w:p>
    <w:p w:rsidR="00580987" w:rsidRPr="00526F7B" w:rsidRDefault="00580987" w:rsidP="00580987">
      <w:pPr>
        <w:jc w:val="both"/>
      </w:pPr>
      <w:r w:rsidRPr="00526F7B">
        <w:t>The authors’ vision of the operation of such a system is certain to evolve significantly as subject matter experts provide input and as development progresses.  Nevertheless, it may be useful to outline the curre</w:t>
      </w:r>
      <w:r w:rsidR="00F257E1">
        <w:t>nt vision as it is perceived in 2017</w:t>
      </w:r>
      <w:r w:rsidRPr="00526F7B">
        <w:t xml:space="preserve">.  Upon entry into the program, the user would be given a short briefing as to the goals and processes of the system, then invited to enter a significant range of personal data to help optimize the presentation of material to be covered.  They would then take a short diagnostic test to assess their current levels of critical thinking and meta-cognition.  These tests would be designed to establish skill levels in all of the germane areas of the two concepts.  All of this could be accomplished by either text entry followed by a screen display of instructions and data or, it could be accomplished by voice recognition input and synthesized speech responses, with or without animated or video-taped avatars.  The system would then present feedback and a proposed schedule of future instruction and evaluation, which would be available to the user, system administrators, and cognizant command personnel, as appropriate. </w:t>
      </w:r>
    </w:p>
    <w:p w:rsidR="00580987" w:rsidRPr="00526F7B" w:rsidRDefault="00580987" w:rsidP="00580987">
      <w:pPr>
        <w:jc w:val="both"/>
      </w:pPr>
    </w:p>
    <w:p w:rsidR="00580987" w:rsidRPr="00526F7B" w:rsidRDefault="00580987" w:rsidP="00580987">
      <w:pPr>
        <w:jc w:val="both"/>
      </w:pPr>
      <w:r w:rsidRPr="00526F7B">
        <w:t xml:space="preserve">Thereafter, whenever the users log in, they would be presented with the continuation of the lesson, exercise or tutorial conversation, continuing from where it was left off.  The system would present a brief recap of the previous actions and location in the pedagogical process, designing that presentation based on the time delay since last log-on.  In the case of didactic material, it would be presented by displayed text or images, or by oral speech, or by oral speech with animated or video-taped avatars, as the users’ personal preferences or operational constraints determined.  </w:t>
      </w:r>
    </w:p>
    <w:p w:rsidR="00580987" w:rsidRPr="00526F7B" w:rsidRDefault="00580987" w:rsidP="00580987">
      <w:pPr>
        <w:jc w:val="both"/>
      </w:pPr>
    </w:p>
    <w:p w:rsidR="00580987" w:rsidRPr="00526F7B" w:rsidRDefault="00580987" w:rsidP="00580987">
      <w:pPr>
        <w:jc w:val="both"/>
      </w:pPr>
      <w:r w:rsidRPr="00526F7B">
        <w:t xml:space="preserve">At the end of a fairly substantial introductory exposition of </w:t>
      </w:r>
      <w:r w:rsidR="005B6481">
        <w:t>critical think</w:t>
      </w:r>
      <w:r w:rsidRPr="00526F7B">
        <w:t xml:space="preserve">ing concepts, the users would receive the first of a series of modules designed to highlight and improve individual skills needed for </w:t>
      </w:r>
      <w:r w:rsidR="005B6481">
        <w:t>critical think</w:t>
      </w:r>
      <w:r w:rsidRPr="00526F7B">
        <w:t>ing enhancement.  These modules would typically be comprised of academic materials, either written or oral, followed by an interactive situational simulation that was founded on and based in the matrix for scenario creation described above.  After that was completed, the users would be evaluated and the next step would involve analysis and questioning by an avatar, which would have the</w:t>
      </w:r>
      <w:r w:rsidR="00F257E1">
        <w:t xml:space="preserve"> “personal”</w:t>
      </w:r>
      <w:r w:rsidRPr="00526F7B">
        <w:t xml:space="preserve"> characteristics defined by the users or by higher authority.  Should this process suggest the need at this time for additional work on this issue, a new set of instructional materials would be presented, along with a new scenario and evaluation.  </w:t>
      </w:r>
    </w:p>
    <w:p w:rsidR="00580987" w:rsidRPr="00526F7B" w:rsidRDefault="00580987" w:rsidP="00580987">
      <w:pPr>
        <w:jc w:val="both"/>
      </w:pPr>
    </w:p>
    <w:p w:rsidR="00580987" w:rsidRPr="00526F7B" w:rsidRDefault="00580987" w:rsidP="00580987">
      <w:pPr>
        <w:jc w:val="both"/>
      </w:pPr>
      <w:r w:rsidRPr="00526F7B">
        <w:t xml:space="preserve">This process would be repeated until all of the skills areas in both critical thinking and meta-cognition had been mastered to a level acceptable to the system monitors.  The levels would be adequately identified so users could request additional or brush-up work in any area they or their command thought appropriate.  </w:t>
      </w:r>
    </w:p>
    <w:p w:rsidR="00580987" w:rsidRPr="00526F7B" w:rsidRDefault="00580987" w:rsidP="00580987">
      <w:pPr>
        <w:jc w:val="both"/>
      </w:pPr>
    </w:p>
    <w:p w:rsidR="00580987" w:rsidRPr="00526F7B" w:rsidRDefault="00580987" w:rsidP="00580987">
      <w:pPr>
        <w:jc w:val="both"/>
      </w:pPr>
      <w:r w:rsidRPr="00526F7B">
        <w:t xml:space="preserve">When mastery levels indicated an over-all competency, the modules would begin to focus on a synthesis of all the skills in an operational setting, albeit a simulated one.  </w:t>
      </w:r>
    </w:p>
    <w:p w:rsidR="00580987" w:rsidRPr="00526F7B" w:rsidRDefault="00580987" w:rsidP="00580987">
      <w:pPr>
        <w:jc w:val="both"/>
      </w:pPr>
    </w:p>
    <w:p w:rsidR="00580987" w:rsidRPr="00526F7B" w:rsidRDefault="00580987" w:rsidP="00580987">
      <w:pPr>
        <w:jc w:val="both"/>
      </w:pPr>
      <w:r w:rsidRPr="00526F7B">
        <w:t>At each level, feedback to the users and to others in need of the data would be compared to other users with similar career positions.  External evaluation marks from the user’s service record could be input and compared with machine generated results from participation in this program and any discrepancy alarmed so command and system personnel could rationalize the dichotomy and make corrections or take action as required.</w:t>
      </w:r>
    </w:p>
    <w:p w:rsidR="00580987" w:rsidRPr="00526F7B" w:rsidRDefault="00580987" w:rsidP="00580987">
      <w:pPr>
        <w:jc w:val="both"/>
      </w:pPr>
    </w:p>
    <w:p w:rsidR="00580987" w:rsidRPr="00526F7B" w:rsidRDefault="00580987" w:rsidP="00580987">
      <w:pPr>
        <w:jc w:val="both"/>
      </w:pPr>
      <w:r w:rsidRPr="00526F7B">
        <w:t>When neari</w:t>
      </w:r>
      <w:r w:rsidR="00945EBA" w:rsidRPr="00526F7B">
        <w:t>ng the end of a career phase, (</w:t>
      </w:r>
      <w:r w:rsidRPr="00526F7B">
        <w:t xml:space="preserve">Navy DivOff and CO or Army/Marines Company and Field Grade), the users could be instructed to begin training at the next highest level.  After the system gains some sense of validity within the services, proficiency levels in these simulated tasks could become important input parameters for advancement.  </w:t>
      </w:r>
    </w:p>
    <w:p w:rsidR="00580987" w:rsidRPr="00526F7B" w:rsidRDefault="00580987" w:rsidP="00580987">
      <w:pPr>
        <w:jc w:val="both"/>
      </w:pPr>
    </w:p>
    <w:p w:rsidR="00580987" w:rsidRPr="00526F7B" w:rsidRDefault="00580987" w:rsidP="00580987">
      <w:pPr>
        <w:jc w:val="both"/>
      </w:pPr>
      <w:r w:rsidRPr="00526F7B">
        <w:t>Using the aforementioned deep learning algorithms, the system would continuously seek out</w:t>
      </w:r>
      <w:r w:rsidR="00F257E1">
        <w:t xml:space="preserve"> any emerging nexus</w:t>
      </w:r>
      <w:r w:rsidRPr="00526F7B">
        <w:t xml:space="preserve"> that may suggest making improvements in simulated scenarios, analytic inferences, feed-back methodologies, creative threat generation, and tutor/mentor interactions. </w:t>
      </w:r>
    </w:p>
    <w:p w:rsidR="00580987" w:rsidRPr="00526F7B" w:rsidRDefault="00580987" w:rsidP="00580987">
      <w:pPr>
        <w:jc w:val="both"/>
      </w:pPr>
    </w:p>
    <w:p w:rsidR="00580987" w:rsidRPr="00526F7B" w:rsidRDefault="00580987" w:rsidP="00580987">
      <w:pPr>
        <w:jc w:val="both"/>
      </w:pPr>
      <w:r w:rsidRPr="00526F7B">
        <w:lastRenderedPageBreak/>
        <w:t>Deep learning is currently used effectively in image recognition and natural language processing.  The use of Graphics Processing Units (GPUs) is now recognized as an enabling technology for these te</w:t>
      </w:r>
      <w:r w:rsidR="00463055" w:rsidRPr="00526F7B">
        <w:t>ch</w:t>
      </w:r>
      <w:r w:rsidRPr="00526F7B">
        <w:t xml:space="preserve">niques (Oh &amp; Jung, 2004). Assuming deep learning extensibility to behavior recognition and trend isolation, attention to hardware support should considered for GPU use and the instruction for their implementation. (Wagenbreth </w:t>
      </w:r>
      <w:r w:rsidRPr="00526F7B">
        <w:rPr>
          <w:i/>
        </w:rPr>
        <w:t>et al.</w:t>
      </w:r>
      <w:r w:rsidRPr="00526F7B">
        <w:t xml:space="preserve">, 2010) The combination of this technology with emerging quantum computing capabilities (Lucas </w:t>
      </w:r>
      <w:r w:rsidRPr="00526F7B">
        <w:rPr>
          <w:i/>
        </w:rPr>
        <w:t>et al.,</w:t>
      </w:r>
      <w:r w:rsidRPr="00526F7B">
        <w:t xml:space="preserve"> 2015) is also an intriguing new area of research.</w:t>
      </w:r>
    </w:p>
    <w:p w:rsidR="00580987" w:rsidRPr="00526F7B" w:rsidRDefault="00580987" w:rsidP="00580987">
      <w:pPr>
        <w:jc w:val="both"/>
      </w:pPr>
    </w:p>
    <w:p w:rsidR="00580987" w:rsidRPr="00526F7B" w:rsidRDefault="00580987" w:rsidP="00580987">
      <w:pPr>
        <w:jc w:val="both"/>
      </w:pPr>
      <w:r w:rsidRPr="00526F7B">
        <w:t xml:space="preserve">Given the required service-wide access permissions, the system could further collect information on graduates and non-graduates and compare their performance, promotion, and retention.  Such data is always needed, but unless automatically collected and analyzed, it is rarely adduced to support future decisions. </w:t>
      </w:r>
    </w:p>
    <w:p w:rsidR="00580987" w:rsidRPr="00526F7B" w:rsidRDefault="00580987" w:rsidP="00580987">
      <w:pPr>
        <w:jc w:val="both"/>
      </w:pPr>
    </w:p>
    <w:p w:rsidR="00580987" w:rsidRPr="00526F7B" w:rsidRDefault="00580987" w:rsidP="00580987">
      <w:pPr>
        <w:pStyle w:val="CritThnHd"/>
        <w:rPr>
          <w:rFonts w:ascii="Times New Roman" w:hAnsi="Times New Roman" w:cs="Times New Roman"/>
        </w:rPr>
      </w:pPr>
      <w:r w:rsidRPr="00526F7B">
        <w:rPr>
          <w:rFonts w:ascii="Times New Roman" w:hAnsi="Times New Roman" w:cs="Times New Roman"/>
        </w:rPr>
        <w:t>Conclusions</w:t>
      </w:r>
    </w:p>
    <w:p w:rsidR="00580987" w:rsidRPr="00526F7B" w:rsidRDefault="00580987" w:rsidP="00580987">
      <w:pPr>
        <w:jc w:val="both"/>
      </w:pPr>
      <w:r w:rsidRPr="00526F7B">
        <w:t>In order to meet the dynamic threats posed to the U.S. in the 21</w:t>
      </w:r>
      <w:r w:rsidRPr="00526F7B">
        <w:rPr>
          <w:vertAlign w:val="superscript"/>
        </w:rPr>
        <w:t>st</w:t>
      </w:r>
      <w:r w:rsidRPr="00526F7B">
        <w:t xml:space="preserve"> Century and still honor the constraints of societal norms and financial limits, the DoD must make optimal use of the strengths of the nation that are not common in other cultures. Among these are a highly educated and motivated intellectual elite that has an unparalleled set of infrastructure tools available to teach improved analytic and decision approaches to military personnel at every level and in every environment.  </w:t>
      </w:r>
      <w:r w:rsidR="00526F7B">
        <w:t>The authors maintain that critical thinking is vital, can be inculcated by training and is most practicably implemented by distributed computer-aided instruction and skill maintenance.</w:t>
      </w:r>
    </w:p>
    <w:p w:rsidR="00580987" w:rsidRPr="00526F7B" w:rsidRDefault="00580987" w:rsidP="00580987">
      <w:pPr>
        <w:spacing w:after="200" w:line="276" w:lineRule="auto"/>
        <w:rPr>
          <w:b/>
        </w:rPr>
      </w:pPr>
    </w:p>
    <w:p w:rsidR="00580987" w:rsidRPr="00526F7B" w:rsidRDefault="00580987" w:rsidP="00526F7B">
      <w:pPr>
        <w:pStyle w:val="CritThnHd"/>
        <w:rPr>
          <w:rFonts w:ascii="Times New Roman" w:hAnsi="Times New Roman" w:cs="Times New Roman"/>
        </w:rPr>
      </w:pPr>
      <w:r w:rsidRPr="00526F7B">
        <w:rPr>
          <w:rFonts w:ascii="Times New Roman" w:hAnsi="Times New Roman" w:cs="Times New Roman"/>
        </w:rPr>
        <w:t>References</w:t>
      </w:r>
    </w:p>
    <w:p w:rsidR="00580987" w:rsidRPr="00526F7B" w:rsidRDefault="00580987" w:rsidP="00580987">
      <w:pPr>
        <w:ind w:right="180"/>
        <w:jc w:val="both"/>
      </w:pP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Ariely, D. (2008). </w:t>
      </w:r>
      <w:r w:rsidRPr="00526F7B">
        <w:rPr>
          <w:rFonts w:ascii="Times New Roman" w:hAnsi="Times New Roman" w:cs="Times New Roman"/>
          <w:i/>
        </w:rPr>
        <w:t>Predictably Irrational</w:t>
      </w:r>
      <w:r w:rsidRPr="00526F7B">
        <w:rPr>
          <w:rFonts w:ascii="Times New Roman" w:hAnsi="Times New Roman" w:cs="Times New Roman"/>
        </w:rPr>
        <w:t xml:space="preserve"> (p. 20). New York: HarperCollins.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Beevor, A. (2012). </w:t>
      </w:r>
      <w:r w:rsidRPr="00526F7B">
        <w:rPr>
          <w:rFonts w:ascii="Times New Roman" w:hAnsi="Times New Roman" w:cs="Times New Roman"/>
          <w:i/>
        </w:rPr>
        <w:t>The Second World War</w:t>
      </w:r>
      <w:r w:rsidRPr="00526F7B">
        <w:rPr>
          <w:rFonts w:ascii="Times New Roman" w:hAnsi="Times New Roman" w:cs="Times New Roman"/>
        </w:rPr>
        <w:t>. Hachette UK. p203.</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Bradley, J., &amp; Powers, R. (2000). </w:t>
      </w:r>
      <w:r w:rsidRPr="00526F7B">
        <w:rPr>
          <w:rFonts w:ascii="Times New Roman" w:hAnsi="Times New Roman" w:cs="Times New Roman"/>
          <w:i/>
        </w:rPr>
        <w:t>Flags of Our Fathers</w:t>
      </w:r>
      <w:r w:rsidRPr="00526F7B">
        <w:rPr>
          <w:rFonts w:ascii="Times New Roman" w:hAnsi="Times New Roman" w:cs="Times New Roman"/>
        </w:rPr>
        <w:t>. London: Pimlico.</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Carter, A. G., Creedy, D. K., &amp; Sidebotham, M. (2016). Efficacy of teaching methods used to develop critical thinking in nursing and midwifery undergraduate students: A systematic review of the literature. </w:t>
      </w:r>
      <w:r w:rsidRPr="00526F7B">
        <w:rPr>
          <w:rFonts w:ascii="Times New Roman" w:hAnsi="Times New Roman" w:cs="Times New Roman"/>
          <w:i/>
        </w:rPr>
        <w:t>Nurse Education Today</w:t>
      </w:r>
      <w:r w:rsidRPr="00526F7B">
        <w:rPr>
          <w:rFonts w:ascii="Times New Roman" w:hAnsi="Times New Roman" w:cs="Times New Roman"/>
        </w:rPr>
        <w:t>, 40, 209-218.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Chandler, D. G. (2009). </w:t>
      </w:r>
      <w:r w:rsidRPr="00526F7B">
        <w:rPr>
          <w:rFonts w:ascii="Times New Roman" w:hAnsi="Times New Roman" w:cs="Times New Roman"/>
          <w:i/>
        </w:rPr>
        <w:t>The Campaigns of Napoleon</w:t>
      </w:r>
      <w:r w:rsidRPr="00526F7B">
        <w:rPr>
          <w:rFonts w:ascii="Times New Roman" w:hAnsi="Times New Roman" w:cs="Times New Roman"/>
        </w:rPr>
        <w:t>. Simon and Schuster.</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Coram, R. (2002). Boyd: </w:t>
      </w:r>
      <w:r w:rsidRPr="00526F7B">
        <w:rPr>
          <w:rFonts w:ascii="Times New Roman" w:hAnsi="Times New Roman" w:cs="Times New Roman"/>
          <w:i/>
        </w:rPr>
        <w:t>The fighter pilot who changed the art of war</w:t>
      </w:r>
      <w:r w:rsidRPr="00526F7B">
        <w:rPr>
          <w:rFonts w:ascii="Times New Roman" w:hAnsi="Times New Roman" w:cs="Times New Roman"/>
        </w:rPr>
        <w:t>. Little, Brown.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D.M. &amp; Lucas, R. F. (2006). Joint Experimentation, Data Management and Analysis Enabled by Trans-Continentally Distributed Linux Clusters, at </w:t>
      </w:r>
      <w:r w:rsidRPr="00526F7B">
        <w:rPr>
          <w:rFonts w:ascii="Times New Roman" w:hAnsi="Times New Roman" w:cs="Times New Roman"/>
          <w:i/>
        </w:rPr>
        <w:t>HPCMP Users’ Group Conference</w:t>
      </w:r>
      <w:r w:rsidRPr="00526F7B">
        <w:rPr>
          <w:rFonts w:ascii="Times New Roman" w:hAnsi="Times New Roman" w:cs="Times New Roman"/>
        </w:rPr>
        <w:t xml:space="preserve">, Denver, Colorado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Davis, L. K., Curiel, J., &amp; Davis, D. M., (2010), HITL and Metacognition: Self Analysis and Leadership Enhancement During Simulations, in the Proceedings of the </w:t>
      </w:r>
      <w:r w:rsidRPr="00526F7B">
        <w:rPr>
          <w:rFonts w:ascii="Times New Roman" w:hAnsi="Times New Roman" w:cs="Times New Roman"/>
          <w:i/>
        </w:rPr>
        <w:t>SISO Fall 2010Simulation Interoperability Workshop</w:t>
      </w:r>
      <w:r w:rsidRPr="00526F7B">
        <w:rPr>
          <w:rFonts w:ascii="Times New Roman" w:hAnsi="Times New Roman" w:cs="Times New Roman"/>
        </w:rPr>
        <w:t>, Orlando, Florida</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Deng, L., &amp; Yu, D. (2014). Deep Learning. </w:t>
      </w:r>
      <w:r w:rsidRPr="00526F7B">
        <w:rPr>
          <w:rFonts w:ascii="Times New Roman" w:hAnsi="Times New Roman" w:cs="Times New Roman"/>
          <w:i/>
        </w:rPr>
        <w:t xml:space="preserve">Signal Processing, </w:t>
      </w:r>
      <w:r w:rsidRPr="00526F7B">
        <w:rPr>
          <w:rFonts w:ascii="Times New Roman" w:hAnsi="Times New Roman" w:cs="Times New Roman"/>
        </w:rPr>
        <w:t>7, 3-4.</w:t>
      </w:r>
    </w:p>
    <w:p w:rsidR="0090163A" w:rsidRPr="00526F7B" w:rsidRDefault="0090163A" w:rsidP="00533EBD">
      <w:pPr>
        <w:pStyle w:val="CritThnRef"/>
        <w:rPr>
          <w:rFonts w:ascii="Times New Roman" w:hAnsi="Times New Roman" w:cs="Times New Roman"/>
        </w:rPr>
      </w:pPr>
      <w:r>
        <w:rPr>
          <w:rFonts w:ascii="Times New Roman" w:hAnsi="Times New Roman" w:cs="Times New Roman"/>
        </w:rPr>
        <w:t>DoD, (2015).</w:t>
      </w:r>
      <w:r w:rsidRPr="00533EBD">
        <w:rPr>
          <w:rFonts w:ascii="Times New Roman" w:hAnsi="Times New Roman" w:cs="Times New Roman"/>
          <w:i/>
        </w:rPr>
        <w:t xml:space="preserve"> </w:t>
      </w:r>
      <w:r w:rsidR="00533EBD" w:rsidRPr="00533EBD">
        <w:rPr>
          <w:rFonts w:ascii="Times New Roman" w:hAnsi="Times New Roman" w:cs="Times New Roman"/>
          <w:i/>
        </w:rPr>
        <w:t>2014 Demographics: Profile of the Military Community</w:t>
      </w:r>
      <w:r w:rsidR="00533EBD">
        <w:rPr>
          <w:rFonts w:ascii="Times New Roman" w:hAnsi="Times New Roman" w:cs="Times New Roman"/>
        </w:rPr>
        <w:t xml:space="preserve">. </w:t>
      </w:r>
      <w:r w:rsidR="00533EBD" w:rsidRPr="00533EBD">
        <w:rPr>
          <w:rFonts w:ascii="Times New Roman" w:hAnsi="Times New Roman" w:cs="Times New Roman"/>
        </w:rPr>
        <w:t>Office of the Deputy Assistant Secretary of</w:t>
      </w:r>
      <w:r w:rsidR="00533EBD">
        <w:rPr>
          <w:rFonts w:ascii="Times New Roman" w:hAnsi="Times New Roman" w:cs="Times New Roman"/>
        </w:rPr>
        <w:t xml:space="preserve"> </w:t>
      </w:r>
      <w:r w:rsidR="00533EBD" w:rsidRPr="00533EBD">
        <w:rPr>
          <w:rFonts w:ascii="Times New Roman" w:hAnsi="Times New Roman" w:cs="Times New Roman"/>
        </w:rPr>
        <w:t xml:space="preserve">Defense   for   Military   Community   and  </w:t>
      </w:r>
      <w:r w:rsidR="00533EBD">
        <w:rPr>
          <w:rFonts w:ascii="Times New Roman" w:hAnsi="Times New Roman" w:cs="Times New Roman"/>
        </w:rPr>
        <w:t xml:space="preserve"> Family   Policy   (ODASD</w:t>
      </w:r>
      <w:r w:rsidR="00533EBD" w:rsidRPr="00533EBD">
        <w:rPr>
          <w:rFonts w:ascii="Times New Roman" w:hAnsi="Times New Roman" w:cs="Times New Roman"/>
        </w:rPr>
        <w:t>)</w:t>
      </w:r>
      <w:r w:rsidR="00533EBD">
        <w:rPr>
          <w:rFonts w:ascii="Times New Roman" w:hAnsi="Times New Roman" w:cs="Times New Roman"/>
        </w:rPr>
        <w:t>, Washington DC. 39-40</w:t>
      </w:r>
    </w:p>
    <w:p w:rsidR="00580987" w:rsidRPr="00526F7B" w:rsidRDefault="00580987" w:rsidP="00580987">
      <w:pPr>
        <w:pStyle w:val="CritThnRef"/>
        <w:ind w:right="0"/>
        <w:rPr>
          <w:rFonts w:ascii="Times New Roman" w:hAnsi="Times New Roman" w:cs="Times New Roman"/>
          <w:i/>
        </w:rPr>
      </w:pPr>
      <w:r w:rsidRPr="00526F7B">
        <w:rPr>
          <w:rFonts w:ascii="Times New Roman" w:hAnsi="Times New Roman" w:cs="Times New Roman"/>
        </w:rPr>
        <w:t xml:space="preserve">Dunn, Rita, D., &amp; Dunn, K. (1993). Learning styles/teaching styles: Should they.... can they... be matched. </w:t>
      </w:r>
      <w:r w:rsidRPr="00526F7B">
        <w:rPr>
          <w:rFonts w:ascii="Times New Roman" w:hAnsi="Times New Roman" w:cs="Times New Roman"/>
          <w:i/>
        </w:rPr>
        <w:t>Educational leadership.</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Durham, R. W. (1998). </w:t>
      </w:r>
      <w:r w:rsidRPr="00526F7B">
        <w:rPr>
          <w:rFonts w:ascii="Times New Roman" w:hAnsi="Times New Roman" w:cs="Times New Roman"/>
          <w:i/>
        </w:rPr>
        <w:t>Operational Art in the Conduct of Naval Operations</w:t>
      </w:r>
      <w:r w:rsidRPr="00526F7B">
        <w:rPr>
          <w:rFonts w:ascii="Times New Roman" w:hAnsi="Times New Roman" w:cs="Times New Roman"/>
        </w:rPr>
        <w:t xml:space="preserve">. Monograph submitted to School of Advanced Military Studies United States Army Command and General Staff College, Fort Leavenworth,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EduNote, (2016), </w:t>
      </w:r>
      <w:r w:rsidRPr="00526F7B">
        <w:rPr>
          <w:rFonts w:ascii="Times New Roman" w:hAnsi="Times New Roman" w:cs="Times New Roman"/>
          <w:i/>
        </w:rPr>
        <w:t>Under What Circumstances Oral Communication is More Effective</w:t>
      </w:r>
      <w:r w:rsidRPr="00526F7B">
        <w:rPr>
          <w:rFonts w:ascii="Times New Roman" w:hAnsi="Times New Roman" w:cs="Times New Roman"/>
        </w:rPr>
        <w:t xml:space="preserve">, retrieved from the internet on 28 November, 2016, from https://iedunote.com/effective-oral-communication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Hanson, V. D. (2009). </w:t>
      </w:r>
      <w:r w:rsidRPr="00526F7B">
        <w:rPr>
          <w:rFonts w:ascii="Times New Roman" w:hAnsi="Times New Roman" w:cs="Times New Roman"/>
          <w:i/>
        </w:rPr>
        <w:t>The Western Way of War: Infantry Battle in Classical Greece</w:t>
      </w:r>
      <w:r w:rsidRPr="00526F7B">
        <w:rPr>
          <w:rFonts w:ascii="Times New Roman" w:hAnsi="Times New Roman" w:cs="Times New Roman"/>
        </w:rPr>
        <w:t>. Univ of California Press.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Holmes, N. G., Wieman, C. E., &amp; Bonn, D. A. (2015). Teaching critical thinking. Proceedings of the </w:t>
      </w:r>
      <w:r w:rsidRPr="00526F7B">
        <w:rPr>
          <w:rFonts w:ascii="Times New Roman" w:hAnsi="Times New Roman" w:cs="Times New Roman"/>
          <w:i/>
        </w:rPr>
        <w:t>National Academy of Sciences</w:t>
      </w:r>
      <w:r w:rsidRPr="00526F7B">
        <w:rPr>
          <w:rFonts w:ascii="Times New Roman" w:hAnsi="Times New Roman" w:cs="Times New Roman"/>
        </w:rPr>
        <w:t>, 112(36), 11199-11204.</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Flavell, J. H. (1971). First discussant’s comments: What is memory development the development of?. </w:t>
      </w:r>
      <w:r w:rsidRPr="00526F7B">
        <w:rPr>
          <w:rFonts w:ascii="Times New Roman" w:hAnsi="Times New Roman" w:cs="Times New Roman"/>
          <w:i/>
        </w:rPr>
        <w:t>Human development</w:t>
      </w:r>
      <w:r w:rsidRPr="00526F7B">
        <w:rPr>
          <w:rFonts w:ascii="Times New Roman" w:hAnsi="Times New Roman" w:cs="Times New Roman"/>
        </w:rPr>
        <w:t>, 14(4), 272-278</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Garrison, D. R., Anderson, T., &amp; Archer, W. (2001). Critical thinking, cognitive presence, and computer conferencing in distance education. </w:t>
      </w:r>
      <w:r w:rsidRPr="00526F7B">
        <w:rPr>
          <w:rFonts w:ascii="Times New Roman" w:hAnsi="Times New Roman" w:cs="Times New Roman"/>
          <w:i/>
        </w:rPr>
        <w:t>American Journal of Distance Education</w:t>
      </w:r>
      <w:r w:rsidRPr="00526F7B">
        <w:rPr>
          <w:rFonts w:ascii="Times New Roman" w:hAnsi="Times New Roman" w:cs="Times New Roman"/>
        </w:rPr>
        <w:t>, 15(1), 7-23.</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Gottschalk, T. D., Yao, K-T., Wagenbreth, G. &amp; Davis, D. M., (2010), Distributed and Interactive Simulations Operating at Large Scale for Transcontinental Experimentation, in the Proceedings of the IEEE/ACM </w:t>
      </w:r>
      <w:r w:rsidRPr="00526F7B">
        <w:rPr>
          <w:rFonts w:ascii="Times New Roman" w:hAnsi="Times New Roman" w:cs="Times New Roman"/>
          <w:i/>
        </w:rPr>
        <w:t>Distributed Simulations and Real Time Applications 2010 Conference</w:t>
      </w:r>
      <w:r w:rsidRPr="00526F7B">
        <w:rPr>
          <w:rFonts w:ascii="Times New Roman" w:hAnsi="Times New Roman" w:cs="Times New Roman"/>
        </w:rPr>
        <w:t>, Fairfax, Virginia</w:t>
      </w:r>
    </w:p>
    <w:p w:rsidR="00B70367" w:rsidRPr="00526F7B" w:rsidRDefault="00B70367" w:rsidP="00580987">
      <w:pPr>
        <w:pStyle w:val="CritThnRef"/>
        <w:ind w:right="0"/>
        <w:rPr>
          <w:rFonts w:ascii="Times New Roman" w:hAnsi="Times New Roman" w:cs="Times New Roman"/>
        </w:rPr>
      </w:pPr>
      <w:r w:rsidRPr="00B70367">
        <w:rPr>
          <w:rFonts w:ascii="Times New Roman" w:hAnsi="Times New Roman" w:cs="Times New Roman"/>
        </w:rPr>
        <w:t xml:space="preserve">Guillot, C. W. M. (2004). </w:t>
      </w:r>
      <w:proofErr w:type="gramStart"/>
      <w:r w:rsidR="005B6481">
        <w:rPr>
          <w:rFonts w:ascii="Times New Roman" w:hAnsi="Times New Roman" w:cs="Times New Roman"/>
        </w:rPr>
        <w:t>critical</w:t>
      </w:r>
      <w:proofErr w:type="gramEnd"/>
      <w:r w:rsidR="005B6481">
        <w:rPr>
          <w:rFonts w:ascii="Times New Roman" w:hAnsi="Times New Roman" w:cs="Times New Roman"/>
        </w:rPr>
        <w:t xml:space="preserve"> think</w:t>
      </w:r>
      <w:r w:rsidRPr="00B70367">
        <w:rPr>
          <w:rFonts w:ascii="Times New Roman" w:hAnsi="Times New Roman" w:cs="Times New Roman"/>
        </w:rPr>
        <w:t xml:space="preserve">ing for the Military Professional. </w:t>
      </w:r>
      <w:r w:rsidRPr="00B70367">
        <w:rPr>
          <w:rFonts w:ascii="Times New Roman" w:hAnsi="Times New Roman" w:cs="Times New Roman"/>
          <w:i/>
        </w:rPr>
        <w:t>Air &amp; Space Power Journal–Chronicles Online Journal</w:t>
      </w:r>
      <w:r w:rsidRPr="00B70367">
        <w:rPr>
          <w:rFonts w:ascii="Times New Roman" w:hAnsi="Times New Roman" w:cs="Times New Roman"/>
        </w:rPr>
        <w:t>, 17.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Halpern, D. F. (1998). Teaching critical thinking for transfer across domains: Disposition, skills, structure training, and metacognitive monitoring. </w:t>
      </w:r>
      <w:r w:rsidRPr="00526F7B">
        <w:rPr>
          <w:rFonts w:ascii="Times New Roman" w:hAnsi="Times New Roman" w:cs="Times New Roman"/>
          <w:i/>
        </w:rPr>
        <w:t>American Psychologist</w:t>
      </w:r>
      <w:r w:rsidRPr="00526F7B">
        <w:rPr>
          <w:rFonts w:ascii="Times New Roman" w:hAnsi="Times New Roman" w:cs="Times New Roman"/>
        </w:rPr>
        <w:t>, 53(4), 449.</w:t>
      </w:r>
    </w:p>
    <w:p w:rsidR="004235A8" w:rsidRPr="00526F7B" w:rsidRDefault="004235A8" w:rsidP="00580987">
      <w:pPr>
        <w:pStyle w:val="CritThnRef"/>
        <w:ind w:right="0"/>
        <w:rPr>
          <w:rFonts w:ascii="Times New Roman" w:hAnsi="Times New Roman" w:cs="Times New Roman"/>
        </w:rPr>
      </w:pPr>
      <w:r w:rsidRPr="00526F7B">
        <w:rPr>
          <w:rFonts w:ascii="Times New Roman" w:hAnsi="Times New Roman" w:cs="Times New Roman"/>
        </w:rPr>
        <w:t xml:space="preserve">ICT, (2015).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Jean, G., (2006), "Game Branches Out Into Real Combat Training", </w:t>
      </w:r>
      <w:r w:rsidRPr="00526F7B">
        <w:rPr>
          <w:rFonts w:ascii="Times New Roman" w:hAnsi="Times New Roman" w:cs="Times New Roman"/>
          <w:i/>
        </w:rPr>
        <w:t>National Defense Magazine</w:t>
      </w:r>
      <w:r w:rsidRPr="00526F7B">
        <w:rPr>
          <w:rFonts w:ascii="Times New Roman" w:hAnsi="Times New Roman" w:cs="Times New Roman"/>
        </w:rPr>
        <w:t xml:space="preserve">, </w:t>
      </w:r>
      <w:r w:rsidR="00533EBD" w:rsidRPr="00526F7B">
        <w:rPr>
          <w:rFonts w:ascii="Times New Roman" w:hAnsi="Times New Roman" w:cs="Times New Roman"/>
        </w:rPr>
        <w:t>and Retrieved</w:t>
      </w:r>
      <w:r w:rsidRPr="00526F7B">
        <w:rPr>
          <w:rFonts w:ascii="Times New Roman" w:hAnsi="Times New Roman" w:cs="Times New Roman"/>
        </w:rPr>
        <w:t xml:space="preserve"> </w:t>
      </w:r>
      <w:r w:rsidR="00526F7B" w:rsidRPr="00526F7B">
        <w:rPr>
          <w:rFonts w:ascii="Times New Roman" w:hAnsi="Times New Roman" w:cs="Times New Roman"/>
        </w:rPr>
        <w:t>02Dec16</w:t>
      </w:r>
      <w:r w:rsidR="00526F7B">
        <w:rPr>
          <w:rFonts w:ascii="Times New Roman" w:hAnsi="Times New Roman" w:cs="Times New Roman"/>
        </w:rPr>
        <w:t>:</w:t>
      </w:r>
      <w:r w:rsidRPr="00526F7B">
        <w:rPr>
          <w:rFonts w:ascii="Times New Roman" w:hAnsi="Times New Roman" w:cs="Times New Roman"/>
        </w:rPr>
        <w:t xml:space="preserve">  http://www.nationaldefensemagazine.org/archive/2006/February/Pages/games_brance3042.aspx?</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(2015a), </w:t>
      </w:r>
      <w:r w:rsidRPr="00526F7B">
        <w:rPr>
          <w:rFonts w:ascii="Times New Roman" w:hAnsi="Times New Roman" w:cs="Times New Roman"/>
          <w:i/>
        </w:rPr>
        <w:t>Video of SimCoach in action</w:t>
      </w:r>
      <w:r w:rsidRPr="00526F7B">
        <w:rPr>
          <w:rFonts w:ascii="Times New Roman" w:hAnsi="Times New Roman" w:cs="Times New Roman"/>
        </w:rPr>
        <w:t xml:space="preserve">. Retrieved from the internet on 27 June 2015 from https://www.youtube.com/watch?v=2bsMESwBeyg&amp;index=14&amp;list=PLBF277FAE78E8CB39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ICT, (2015b). </w:t>
      </w:r>
      <w:r w:rsidRPr="00526F7B">
        <w:rPr>
          <w:rFonts w:ascii="Times New Roman" w:hAnsi="Times New Roman" w:cs="Times New Roman"/>
          <w:i/>
        </w:rPr>
        <w:t>Selected Slides from presentation to the Army Research Laboratory</w:t>
      </w:r>
      <w:r w:rsidRPr="00526F7B">
        <w:rPr>
          <w:rFonts w:ascii="Times New Roman" w:hAnsi="Times New Roman" w:cs="Times New Roman"/>
        </w:rPr>
        <w:t>. Retrieved on 29Nov16 from the internet at: http://www.hpc-educ.org/AFIT-Init/Materials/Slides/VH-or-Voice-or-StaticImage.pdf</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Kahneman, D. (2011). </w:t>
      </w:r>
      <w:r w:rsidRPr="00526F7B">
        <w:rPr>
          <w:rFonts w:ascii="Times New Roman" w:hAnsi="Times New Roman" w:cs="Times New Roman"/>
          <w:i/>
        </w:rPr>
        <w:t>Thinking, Fast and Slow</w:t>
      </w:r>
      <w:r w:rsidRPr="00526F7B">
        <w:rPr>
          <w:rFonts w:ascii="Times New Roman" w:hAnsi="Times New Roman" w:cs="Times New Roman"/>
        </w:rPr>
        <w:t>. Macmillan.</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Khan Academy, (2016), </w:t>
      </w:r>
      <w:r w:rsidRPr="00526F7B">
        <w:rPr>
          <w:rFonts w:ascii="Times New Roman" w:hAnsi="Times New Roman" w:cs="Times New Roman"/>
          <w:i/>
        </w:rPr>
        <w:t>The Khan Academy</w:t>
      </w:r>
      <w:r w:rsidRPr="00526F7B">
        <w:rPr>
          <w:rFonts w:ascii="Times New Roman" w:hAnsi="Times New Roman" w:cs="Times New Roman"/>
        </w:rPr>
        <w:t xml:space="preserve">. Retrieved from the web on 08 November 2016 at: </w:t>
      </w:r>
      <w:r w:rsidRPr="00F257E1">
        <w:rPr>
          <w:rFonts w:ascii="Times New Roman" w:hAnsi="Times New Roman" w:cs="Times New Roman"/>
        </w:rPr>
        <w:t>https://www.khanacademy.org/</w:t>
      </w:r>
    </w:p>
    <w:p w:rsidR="00463055" w:rsidRDefault="00463055" w:rsidP="00463055">
      <w:pPr>
        <w:pStyle w:val="CritThnRef"/>
        <w:rPr>
          <w:rFonts w:ascii="Times New Roman" w:hAnsi="Times New Roman" w:cs="Times New Roman"/>
          <w:color w:val="000000"/>
        </w:rPr>
      </w:pPr>
      <w:r w:rsidRPr="00526F7B">
        <w:rPr>
          <w:rFonts w:ascii="Times New Roman" w:hAnsi="Times New Roman" w:cs="Times New Roman"/>
        </w:rPr>
        <w:t xml:space="preserve">Kudryavtsev, Andrey. (2016). </w:t>
      </w:r>
      <w:r w:rsidRPr="00526F7B">
        <w:rPr>
          <w:rFonts w:ascii="Times New Roman" w:hAnsi="Times New Roman" w:cs="Times New Roman"/>
          <w:i/>
        </w:rPr>
        <w:t>Automatic Speech Recognition Services Comparison</w:t>
      </w:r>
      <w:r w:rsidRPr="00526F7B">
        <w:rPr>
          <w:rFonts w:ascii="Times New Roman" w:hAnsi="Times New Roman" w:cs="Times New Roman"/>
        </w:rPr>
        <w:t xml:space="preserve">. Grid </w:t>
      </w:r>
      <w:r w:rsidR="00F71E73">
        <w:rPr>
          <w:rFonts w:ascii="Times New Roman" w:hAnsi="Times New Roman" w:cs="Times New Roman"/>
        </w:rPr>
        <w:t>Designer's Blog.</w:t>
      </w:r>
      <w:r w:rsidRPr="00526F7B">
        <w:rPr>
          <w:rFonts w:ascii="Times New Roman" w:hAnsi="Times New Roman" w:cs="Times New Roman"/>
        </w:rPr>
        <w:t xml:space="preserve"> 11 Jan. </w:t>
      </w:r>
      <w:proofErr w:type="gramStart"/>
      <w:r w:rsidRPr="00526F7B">
        <w:rPr>
          <w:rFonts w:ascii="Times New Roman" w:hAnsi="Times New Roman" w:cs="Times New Roman"/>
        </w:rPr>
        <w:t>2016.,</w:t>
      </w:r>
      <w:proofErr w:type="gramEnd"/>
      <w:r w:rsidRPr="00526F7B">
        <w:rPr>
          <w:rFonts w:ascii="Times New Roman" w:hAnsi="Times New Roman" w:cs="Times New Roman"/>
        </w:rPr>
        <w:t xml:space="preserve"> Retrieved on</w:t>
      </w:r>
      <w:r w:rsidR="00580EB1" w:rsidRPr="00526F7B">
        <w:rPr>
          <w:rFonts w:ascii="Times New Roman" w:hAnsi="Times New Roman" w:cs="Times New Roman"/>
        </w:rPr>
        <w:t xml:space="preserve"> 29 April 2017</w:t>
      </w:r>
      <w:r w:rsidRPr="00526F7B">
        <w:rPr>
          <w:rFonts w:ascii="Times New Roman" w:hAnsi="Times New Roman" w:cs="Times New Roman"/>
        </w:rPr>
        <w:t xml:space="preserve"> from: </w:t>
      </w:r>
      <w:r w:rsidR="00580EB1" w:rsidRPr="00F257E1">
        <w:rPr>
          <w:rFonts w:ascii="Times New Roman" w:hAnsi="Times New Roman" w:cs="Times New Roman"/>
        </w:rPr>
        <w:t>http://blog-archive.griddynamics.com/2016/01/automatic-speech-recognition-services.html</w:t>
      </w:r>
      <w:r w:rsidR="00580EB1" w:rsidRPr="00526F7B">
        <w:rPr>
          <w:rFonts w:ascii="Times New Roman" w:hAnsi="Times New Roman" w:cs="Times New Roman"/>
          <w:color w:val="000000"/>
        </w:rPr>
        <w:t xml:space="preserve">&gt;. </w:t>
      </w:r>
    </w:p>
    <w:p w:rsidR="00070559" w:rsidRPr="00526F7B" w:rsidRDefault="00070559" w:rsidP="00463055">
      <w:pPr>
        <w:pStyle w:val="CritThnRef"/>
        <w:rPr>
          <w:rFonts w:ascii="Times New Roman" w:hAnsi="Times New Roman" w:cs="Times New Roman"/>
        </w:rPr>
      </w:pPr>
      <w:r w:rsidRPr="00070559">
        <w:rPr>
          <w:rFonts w:ascii="Times New Roman" w:hAnsi="Times New Roman" w:cs="Times New Roman"/>
        </w:rPr>
        <w:t xml:space="preserve">Lai, E. R. (2011). Critical thinking: A literature review. </w:t>
      </w:r>
      <w:r w:rsidRPr="00070559">
        <w:rPr>
          <w:rFonts w:ascii="Times New Roman" w:hAnsi="Times New Roman" w:cs="Times New Roman"/>
          <w:i/>
        </w:rPr>
        <w:t>Pearson's Research Reports</w:t>
      </w:r>
      <w:r w:rsidRPr="00070559">
        <w:rPr>
          <w:rFonts w:ascii="Times New Roman" w:hAnsi="Times New Roman" w:cs="Times New Roman"/>
        </w:rPr>
        <w:t>, 6, 40-41.</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Leedom, D.K., McElroy, W., Shadrick, S.B., Lickteig C., Pokorny R. A. Haynes J. A. and Bell, J. (2007), </w:t>
      </w:r>
      <w:r w:rsidRPr="00526F7B">
        <w:rPr>
          <w:rFonts w:ascii="Times New Roman" w:hAnsi="Times New Roman" w:cs="Times New Roman"/>
          <w:i/>
        </w:rPr>
        <w:t>Cognitive Task Analysis of the Battalion Level Visualization Process</w:t>
      </w:r>
      <w:r w:rsidRPr="00526F7B">
        <w:rPr>
          <w:rFonts w:ascii="Times New Roman" w:hAnsi="Times New Roman" w:cs="Times New Roman"/>
        </w:rPr>
        <w:t xml:space="preserve">. Technical Report 1213, United States Army Research Institute for the Behavioral and Social Sciences.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Lehman, D. </w:t>
      </w:r>
      <w:r w:rsidR="001E4009" w:rsidRPr="00526F7B">
        <w:rPr>
          <w:rFonts w:ascii="Times New Roman" w:hAnsi="Times New Roman" w:cs="Times New Roman"/>
        </w:rPr>
        <w:t>R., &amp; Nisbett, R. E. (1990). A L</w:t>
      </w:r>
      <w:r w:rsidRPr="00526F7B">
        <w:rPr>
          <w:rFonts w:ascii="Times New Roman" w:hAnsi="Times New Roman" w:cs="Times New Roman"/>
        </w:rPr>
        <w:t xml:space="preserve">ongitudinal </w:t>
      </w:r>
      <w:r w:rsidR="001E4009" w:rsidRPr="00526F7B">
        <w:rPr>
          <w:rFonts w:ascii="Times New Roman" w:hAnsi="Times New Roman" w:cs="Times New Roman"/>
        </w:rPr>
        <w:t>S</w:t>
      </w:r>
      <w:r w:rsidRPr="00526F7B">
        <w:rPr>
          <w:rFonts w:ascii="Times New Roman" w:hAnsi="Times New Roman" w:cs="Times New Roman"/>
        </w:rPr>
        <w:t xml:space="preserve">tudy of the </w:t>
      </w:r>
      <w:r w:rsidR="001E4009" w:rsidRPr="00526F7B">
        <w:rPr>
          <w:rFonts w:ascii="Times New Roman" w:hAnsi="Times New Roman" w:cs="Times New Roman"/>
        </w:rPr>
        <w:t>E</w:t>
      </w:r>
      <w:r w:rsidRPr="00526F7B">
        <w:rPr>
          <w:rFonts w:ascii="Times New Roman" w:hAnsi="Times New Roman" w:cs="Times New Roman"/>
        </w:rPr>
        <w:t xml:space="preserve">ffects of </w:t>
      </w:r>
      <w:r w:rsidR="001E4009" w:rsidRPr="00526F7B">
        <w:rPr>
          <w:rFonts w:ascii="Times New Roman" w:hAnsi="Times New Roman" w:cs="Times New Roman"/>
        </w:rPr>
        <w:t>Undergraduate T</w:t>
      </w:r>
      <w:r w:rsidRPr="00526F7B">
        <w:rPr>
          <w:rFonts w:ascii="Times New Roman" w:hAnsi="Times New Roman" w:cs="Times New Roman"/>
        </w:rPr>
        <w:t xml:space="preserve">raining </w:t>
      </w:r>
      <w:r w:rsidR="001E4009" w:rsidRPr="00526F7B">
        <w:rPr>
          <w:rFonts w:ascii="Times New Roman" w:hAnsi="Times New Roman" w:cs="Times New Roman"/>
        </w:rPr>
        <w:t>on R</w:t>
      </w:r>
      <w:r w:rsidRPr="00526F7B">
        <w:rPr>
          <w:rFonts w:ascii="Times New Roman" w:hAnsi="Times New Roman" w:cs="Times New Roman"/>
        </w:rPr>
        <w:t xml:space="preserve">easoning. </w:t>
      </w:r>
      <w:r w:rsidRPr="00526F7B">
        <w:rPr>
          <w:rFonts w:ascii="Times New Roman" w:hAnsi="Times New Roman" w:cs="Times New Roman"/>
          <w:i/>
        </w:rPr>
        <w:t>Developmental Psychology</w:t>
      </w:r>
      <w:r w:rsidRPr="00526F7B">
        <w:rPr>
          <w:rFonts w:ascii="Times New Roman" w:hAnsi="Times New Roman" w:cs="Times New Roman"/>
        </w:rPr>
        <w:t>, 26, 431-442.</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Lucas, R.F., Davis, D.M., &amp; Burns, D.P. (2015). System of Systems Complexity Addressed by Practical Adiabatic Quantum Computing.</w:t>
      </w:r>
      <w:r w:rsidRPr="00526F7B">
        <w:rPr>
          <w:rFonts w:ascii="Times New Roman" w:hAnsi="Times New Roman" w:cs="Times New Roman"/>
          <w:i/>
        </w:rPr>
        <w:t xml:space="preserve"> The ITEA Journal of Test and Evaluation</w:t>
      </w:r>
      <w:r w:rsidRPr="00526F7B">
        <w:rPr>
          <w:rFonts w:ascii="Times New Roman" w:hAnsi="Times New Roman" w:cs="Times New Roman"/>
        </w:rPr>
        <w:t>, 36(4), 311-321.</w:t>
      </w:r>
    </w:p>
    <w:p w:rsidR="00580EB1" w:rsidRPr="00526F7B" w:rsidRDefault="00580EB1" w:rsidP="00580EB1">
      <w:pPr>
        <w:pStyle w:val="CritThnRef"/>
        <w:rPr>
          <w:rFonts w:ascii="Times New Roman" w:hAnsi="Times New Roman" w:cs="Times New Roman"/>
        </w:rPr>
      </w:pPr>
      <w:r w:rsidRPr="00526F7B">
        <w:rPr>
          <w:rFonts w:ascii="Times New Roman" w:hAnsi="Times New Roman" w:cs="Times New Roman"/>
        </w:rPr>
        <w:t xml:space="preserve">Lucas, Gale M., Gratch, </w:t>
      </w:r>
      <w:r w:rsidR="00255631" w:rsidRPr="00526F7B">
        <w:rPr>
          <w:rFonts w:ascii="Times New Roman" w:hAnsi="Times New Roman" w:cs="Times New Roman"/>
        </w:rPr>
        <w:t xml:space="preserve">J., </w:t>
      </w:r>
      <w:r w:rsidRPr="00526F7B">
        <w:rPr>
          <w:rFonts w:ascii="Times New Roman" w:hAnsi="Times New Roman" w:cs="Times New Roman"/>
        </w:rPr>
        <w:t>King,</w:t>
      </w:r>
      <w:r w:rsidR="00255631" w:rsidRPr="00526F7B">
        <w:rPr>
          <w:rFonts w:ascii="Times New Roman" w:hAnsi="Times New Roman" w:cs="Times New Roman"/>
        </w:rPr>
        <w:t xml:space="preserve"> A.</w:t>
      </w:r>
      <w:r w:rsidRPr="00526F7B">
        <w:rPr>
          <w:rFonts w:ascii="Times New Roman" w:hAnsi="Times New Roman" w:cs="Times New Roman"/>
        </w:rPr>
        <w:t xml:space="preserve"> and Morency</w:t>
      </w:r>
      <w:r w:rsidR="00255631" w:rsidRPr="00526F7B">
        <w:rPr>
          <w:rFonts w:ascii="Times New Roman" w:hAnsi="Times New Roman" w:cs="Times New Roman"/>
        </w:rPr>
        <w:t xml:space="preserve">, L.-P. </w:t>
      </w:r>
      <w:r w:rsidRPr="00526F7B">
        <w:rPr>
          <w:rFonts w:ascii="Times New Roman" w:hAnsi="Times New Roman" w:cs="Times New Roman"/>
        </w:rPr>
        <w:t xml:space="preserve">(2014). "It’s Only a Computer: Virtual Humans Increase Willingness to Disclose.  </w:t>
      </w:r>
      <w:r w:rsidRPr="00526F7B">
        <w:rPr>
          <w:rFonts w:ascii="Times New Roman" w:hAnsi="Times New Roman" w:cs="Times New Roman"/>
          <w:i/>
        </w:rPr>
        <w:t>Computers in Human Behavior</w:t>
      </w:r>
      <w:r w:rsidRPr="00526F7B">
        <w:rPr>
          <w:rFonts w:ascii="Times New Roman" w:hAnsi="Times New Roman" w:cs="Times New Roman"/>
        </w:rPr>
        <w:t>:</w:t>
      </w:r>
      <w:r w:rsidRPr="00526F7B">
        <w:rPr>
          <w:rFonts w:ascii="Times New Roman" w:hAnsi="Times New Roman" w:cs="Times New Roman"/>
          <w:i/>
        </w:rPr>
        <w:t xml:space="preserve"> 37</w:t>
      </w:r>
      <w:r w:rsidRPr="00526F7B">
        <w:rPr>
          <w:rFonts w:ascii="Times New Roman" w:hAnsi="Times New Roman" w:cs="Times New Roman"/>
        </w:rPr>
        <w:t xml:space="preserve"> 94-100. </w:t>
      </w:r>
    </w:p>
    <w:p w:rsidR="00580987"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Oh, K. S., &amp; Jung, K. (2004). GPU Implementation of Neural Networks. </w:t>
      </w:r>
      <w:r w:rsidRPr="00526F7B">
        <w:rPr>
          <w:rFonts w:ascii="Times New Roman" w:hAnsi="Times New Roman" w:cs="Times New Roman"/>
          <w:i/>
        </w:rPr>
        <w:t>Pattern Recognition</w:t>
      </w:r>
      <w:r w:rsidRPr="00526F7B">
        <w:rPr>
          <w:rFonts w:ascii="Times New Roman" w:hAnsi="Times New Roman" w:cs="Times New Roman"/>
        </w:rPr>
        <w:t>, 37(6), 1311-1314.</w:t>
      </w:r>
    </w:p>
    <w:p w:rsidR="00D15856" w:rsidRPr="00526F7B" w:rsidRDefault="00D15856" w:rsidP="00580987">
      <w:pPr>
        <w:pStyle w:val="CritThnRef"/>
        <w:ind w:right="0"/>
        <w:rPr>
          <w:rFonts w:ascii="Times New Roman" w:hAnsi="Times New Roman" w:cs="Times New Roman"/>
        </w:rPr>
      </w:pPr>
      <w:proofErr w:type="spellStart"/>
      <w:proofErr w:type="gramStart"/>
      <w:r w:rsidRPr="00D15856">
        <w:rPr>
          <w:rFonts w:ascii="Times New Roman" w:hAnsi="Times New Roman" w:cs="Times New Roman"/>
        </w:rPr>
        <w:t>Pithers</w:t>
      </w:r>
      <w:proofErr w:type="spellEnd"/>
      <w:r w:rsidRPr="00D15856">
        <w:rPr>
          <w:rFonts w:ascii="Times New Roman" w:hAnsi="Times New Roman" w:cs="Times New Roman"/>
        </w:rPr>
        <w:t>, R. T.</w:t>
      </w:r>
      <w:r>
        <w:rPr>
          <w:rFonts w:ascii="Times New Roman" w:hAnsi="Times New Roman" w:cs="Times New Roman"/>
        </w:rPr>
        <w:t xml:space="preserve">, &amp; </w:t>
      </w:r>
      <w:proofErr w:type="spellStart"/>
      <w:r>
        <w:rPr>
          <w:rFonts w:ascii="Times New Roman" w:hAnsi="Times New Roman" w:cs="Times New Roman"/>
        </w:rPr>
        <w:t>Soden</w:t>
      </w:r>
      <w:proofErr w:type="spellEnd"/>
      <w:r>
        <w:rPr>
          <w:rFonts w:ascii="Times New Roman" w:hAnsi="Times New Roman" w:cs="Times New Roman"/>
        </w:rPr>
        <w:t>, R. (2000).</w:t>
      </w:r>
      <w:proofErr w:type="gramEnd"/>
      <w:r>
        <w:rPr>
          <w:rFonts w:ascii="Times New Roman" w:hAnsi="Times New Roman" w:cs="Times New Roman"/>
        </w:rPr>
        <w:t xml:space="preserve"> </w:t>
      </w:r>
      <w:proofErr w:type="gramStart"/>
      <w:r w:rsidR="005B6481">
        <w:rPr>
          <w:rFonts w:ascii="Times New Roman" w:hAnsi="Times New Roman" w:cs="Times New Roman"/>
        </w:rPr>
        <w:t>critical</w:t>
      </w:r>
      <w:proofErr w:type="gramEnd"/>
      <w:r w:rsidR="005B6481">
        <w:rPr>
          <w:rFonts w:ascii="Times New Roman" w:hAnsi="Times New Roman" w:cs="Times New Roman"/>
        </w:rPr>
        <w:t xml:space="preserve"> think</w:t>
      </w:r>
      <w:r w:rsidRPr="00D15856">
        <w:rPr>
          <w:rFonts w:ascii="Times New Roman" w:hAnsi="Times New Roman" w:cs="Times New Roman"/>
        </w:rPr>
        <w:t xml:space="preserve">ing in </w:t>
      </w:r>
      <w:r>
        <w:rPr>
          <w:rFonts w:ascii="Times New Roman" w:hAnsi="Times New Roman" w:cs="Times New Roman"/>
        </w:rPr>
        <w:t>E</w:t>
      </w:r>
      <w:r w:rsidRPr="00D15856">
        <w:rPr>
          <w:rFonts w:ascii="Times New Roman" w:hAnsi="Times New Roman" w:cs="Times New Roman"/>
        </w:rPr>
        <w:t xml:space="preserve">ducation: A review. Educational </w:t>
      </w:r>
      <w:r>
        <w:rPr>
          <w:rFonts w:ascii="Times New Roman" w:hAnsi="Times New Roman" w:cs="Times New Roman"/>
        </w:rPr>
        <w:t>R</w:t>
      </w:r>
      <w:r w:rsidRPr="00D15856">
        <w:rPr>
          <w:rFonts w:ascii="Times New Roman" w:hAnsi="Times New Roman" w:cs="Times New Roman"/>
        </w:rPr>
        <w:t>esearch, 42(3), 237</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Randolph, H. L. (1905). </w:t>
      </w:r>
      <w:r w:rsidRPr="00526F7B">
        <w:rPr>
          <w:rFonts w:ascii="Times New Roman" w:hAnsi="Times New Roman" w:cs="Times New Roman"/>
          <w:i/>
        </w:rPr>
        <w:t>Biographical Sketches of Distinguished Officers of the Army and DoD</w:t>
      </w:r>
      <w:r w:rsidRPr="00526F7B">
        <w:rPr>
          <w:rFonts w:ascii="Times New Roman" w:hAnsi="Times New Roman" w:cs="Times New Roman"/>
        </w:rPr>
        <w:t>. Page</w:t>
      </w:r>
      <w:r w:rsidR="00255631" w:rsidRPr="00526F7B">
        <w:rPr>
          <w:rFonts w:ascii="Times New Roman" w:hAnsi="Times New Roman" w:cs="Times New Roman"/>
        </w:rPr>
        <w:t xml:space="preserve"> 87. Retrieved</w:t>
      </w:r>
      <w:r w:rsidRPr="00526F7B">
        <w:rPr>
          <w:rFonts w:ascii="Times New Roman" w:hAnsi="Times New Roman" w:cs="Times New Roman"/>
        </w:rPr>
        <w:t xml:space="preserve"> on 02Dec16 from: </w:t>
      </w:r>
      <w:r w:rsidR="000A1DE4" w:rsidRPr="00F257E1">
        <w:rPr>
          <w:rFonts w:ascii="Times New Roman" w:hAnsi="Times New Roman" w:cs="Times New Roman"/>
        </w:rPr>
        <w:t>https://books.google.com/books?id=4iIZx9QohXIC&amp;printsec</w:t>
      </w:r>
      <w:r w:rsidR="000A1DE4" w:rsidRPr="00526F7B">
        <w:rPr>
          <w:rFonts w:ascii="Times New Roman" w:hAnsi="Times New Roman" w:cs="Times New Roman"/>
        </w:rPr>
        <w:t xml:space="preserve">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Reger, G. M., Rizzo, A. A., &amp; Gahm, G. A. (2015). Initial Development and Dissemination of Virtual Reality Exposure Therapy for Combat-Related PTSD. In </w:t>
      </w:r>
      <w:r w:rsidRPr="00526F7B">
        <w:rPr>
          <w:rFonts w:ascii="Times New Roman" w:hAnsi="Times New Roman" w:cs="Times New Roman"/>
          <w:i/>
        </w:rPr>
        <w:t>Future Directions in Post-Traumatic Stress Disorder</w:t>
      </w:r>
      <w:r w:rsidRPr="00526F7B">
        <w:rPr>
          <w:rFonts w:ascii="Times New Roman" w:hAnsi="Times New Roman" w:cs="Times New Roman"/>
        </w:rPr>
        <w:t xml:space="preserve"> (pp. 289-302). Springer US.</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Scales, R.H. Jr., (1976) Artillery in Small Wars: The Evolution of British Artillery Doctrine, 1860-1914. </w:t>
      </w:r>
      <w:r w:rsidRPr="00526F7B">
        <w:rPr>
          <w:rFonts w:ascii="Times New Roman" w:hAnsi="Times New Roman" w:cs="Times New Roman"/>
          <w:i/>
        </w:rPr>
        <w:t>Duke University</w:t>
      </w:r>
      <w:r w:rsidRPr="00526F7B">
        <w:rPr>
          <w:rFonts w:ascii="Times New Roman" w:hAnsi="Times New Roman" w:cs="Times New Roman"/>
        </w:rPr>
        <w:t xml:space="preserve"> PhD dissertation, 1976.</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lastRenderedPageBreak/>
        <w:t xml:space="preserve">Tiruneh, D. T., Verburgh, A., &amp; Elen, J. (2014). Effectiveness of critical thinking instruction in higher education: A systematic review of intervention studies. </w:t>
      </w:r>
      <w:r w:rsidRPr="00526F7B">
        <w:rPr>
          <w:rFonts w:ascii="Times New Roman" w:hAnsi="Times New Roman" w:cs="Times New Roman"/>
          <w:i/>
        </w:rPr>
        <w:t>Higher Education Studies</w:t>
      </w:r>
      <w:r w:rsidRPr="00526F7B">
        <w:rPr>
          <w:rFonts w:ascii="Times New Roman" w:hAnsi="Times New Roman" w:cs="Times New Roman"/>
        </w:rPr>
        <w:t>, 4(1), 1.</w:t>
      </w:r>
    </w:p>
    <w:p w:rsidR="00463055" w:rsidRPr="00526F7B" w:rsidRDefault="00463055" w:rsidP="00463055">
      <w:pPr>
        <w:pStyle w:val="CritThnRef"/>
        <w:rPr>
          <w:rFonts w:ascii="Times New Roman" w:hAnsi="Times New Roman" w:cs="Times New Roman"/>
        </w:rPr>
      </w:pPr>
      <w:r w:rsidRPr="00526F7B">
        <w:rPr>
          <w:rFonts w:ascii="Times New Roman" w:hAnsi="Times New Roman" w:cs="Times New Roman"/>
        </w:rPr>
        <w:t xml:space="preserve">Traum, David, Andrew Jones, Kia Hays, Heather Maio, </w:t>
      </w:r>
      <w:r w:rsidRPr="00526F7B">
        <w:rPr>
          <w:rFonts w:ascii="Times New Roman" w:hAnsi="Times New Roman" w:cs="Times New Roman"/>
          <w:i/>
        </w:rPr>
        <w:t>et al</w:t>
      </w:r>
      <w:r w:rsidRPr="00526F7B">
        <w:rPr>
          <w:rFonts w:ascii="Times New Roman" w:hAnsi="Times New Roman" w:cs="Times New Roman"/>
        </w:rPr>
        <w:t xml:space="preserve">. (2015). </w:t>
      </w:r>
      <w:r w:rsidRPr="00526F7B">
        <w:rPr>
          <w:rFonts w:ascii="Times New Roman" w:hAnsi="Times New Roman" w:cs="Times New Roman"/>
          <w:i/>
        </w:rPr>
        <w:t>New Dimensions in Testimony: Digitally Preserving a Holocaust Survivor’s Interactive Storytelling</w:t>
      </w:r>
      <w:r w:rsidRPr="00526F7B">
        <w:rPr>
          <w:rFonts w:ascii="Times New Roman" w:hAnsi="Times New Roman" w:cs="Times New Roman"/>
        </w:rPr>
        <w:t xml:space="preserve">. 269-81. Springer International Publishing, 2015. </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 xml:space="preserve">von Lubitz, D. K. J. E., </w:t>
      </w:r>
      <w:r w:rsidRPr="00526F7B">
        <w:rPr>
          <w:rFonts w:ascii="Times New Roman" w:hAnsi="Times New Roman" w:cs="Times New Roman"/>
          <w:i/>
        </w:rPr>
        <w:t>et al</w:t>
      </w:r>
      <w:r w:rsidRPr="00526F7B">
        <w:rPr>
          <w:rFonts w:ascii="Times New Roman" w:hAnsi="Times New Roman" w:cs="Times New Roman"/>
        </w:rPr>
        <w:t xml:space="preserve">. "Medical readiness in the context of operations other than war: Development of first responder readiness using OODA-Loop thinking and advanced distributed interactive simulation technology." Proceedings EMISPHERE 2004 symposium on </w:t>
      </w:r>
      <w:r w:rsidRPr="00526F7B">
        <w:rPr>
          <w:rFonts w:ascii="Times New Roman" w:hAnsi="Times New Roman" w:cs="Times New Roman"/>
          <w:i/>
        </w:rPr>
        <w:t>European-Mediterranean Virtual Hospital</w:t>
      </w:r>
      <w:r w:rsidRPr="00526F7B">
        <w:rPr>
          <w:rFonts w:ascii="Times New Roman" w:hAnsi="Times New Roman" w:cs="Times New Roman"/>
        </w:rPr>
        <w:t>, Istanbul (Turkey).</w:t>
      </w:r>
    </w:p>
    <w:p w:rsidR="00580987" w:rsidRPr="00526F7B" w:rsidRDefault="00580987" w:rsidP="00580987">
      <w:pPr>
        <w:pStyle w:val="CritThnRef"/>
        <w:rPr>
          <w:rFonts w:ascii="Times New Roman" w:hAnsi="Times New Roman" w:cs="Times New Roman"/>
        </w:rPr>
      </w:pPr>
      <w:r w:rsidRPr="00526F7B">
        <w:rPr>
          <w:rFonts w:ascii="Times New Roman" w:hAnsi="Times New Roman" w:cs="Times New Roman"/>
        </w:rPr>
        <w:t xml:space="preserve">Wagenbreth, G., Davis, D.M. &amp; Lucas, R.F. (2010). GPGPU Programming Courses: Getting the Word Out to the Test and Evaluation Community. </w:t>
      </w:r>
      <w:r w:rsidRPr="00526F7B">
        <w:rPr>
          <w:rFonts w:ascii="Times New Roman" w:hAnsi="Times New Roman" w:cs="Times New Roman"/>
          <w:i/>
        </w:rPr>
        <w:t>ITEA Annual Technology Review</w:t>
      </w:r>
      <w:r w:rsidRPr="00526F7B">
        <w:rPr>
          <w:rFonts w:ascii="Times New Roman" w:hAnsi="Times New Roman" w:cs="Times New Roman"/>
        </w:rPr>
        <w:t xml:space="preserve">. Charleston, South Carolina  </w:t>
      </w:r>
    </w:p>
    <w:p w:rsidR="00580987" w:rsidRDefault="00580987" w:rsidP="00580987">
      <w:pPr>
        <w:pStyle w:val="CritThnRef"/>
        <w:rPr>
          <w:rFonts w:ascii="Times New Roman" w:hAnsi="Times New Roman" w:cs="Times New Roman"/>
        </w:rPr>
      </w:pPr>
      <w:r w:rsidRPr="00526F7B">
        <w:rPr>
          <w:rFonts w:ascii="Times New Roman" w:hAnsi="Times New Roman" w:cs="Times New Roman"/>
        </w:rPr>
        <w:t>Williams, R. T., &amp; Morrison, J. S. (1968). Greek Oared Ships: 900-322 BC, University Press.</w:t>
      </w:r>
    </w:p>
    <w:p w:rsidR="00C45C09" w:rsidRPr="00526F7B" w:rsidRDefault="00C45C09" w:rsidP="00580987">
      <w:pPr>
        <w:pStyle w:val="CritThnRef"/>
        <w:rPr>
          <w:rFonts w:ascii="Times New Roman" w:hAnsi="Times New Roman" w:cs="Times New Roman"/>
        </w:rPr>
      </w:pPr>
      <w:proofErr w:type="gramStart"/>
      <w:r w:rsidRPr="00C45C09">
        <w:rPr>
          <w:rFonts w:ascii="Times New Roman" w:hAnsi="Times New Roman" w:cs="Times New Roman"/>
        </w:rPr>
        <w:t>Will</w:t>
      </w:r>
      <w:r>
        <w:rPr>
          <w:rFonts w:ascii="Times New Roman" w:hAnsi="Times New Roman" w:cs="Times New Roman"/>
        </w:rPr>
        <w:t>ingham, D. T. (2007).</w:t>
      </w:r>
      <w:proofErr w:type="gramEnd"/>
      <w:r>
        <w:rPr>
          <w:rFonts w:ascii="Times New Roman" w:hAnsi="Times New Roman" w:cs="Times New Roman"/>
        </w:rPr>
        <w:t xml:space="preserve"> </w:t>
      </w:r>
      <w:proofErr w:type="gramStart"/>
      <w:r w:rsidR="005B6481">
        <w:rPr>
          <w:rFonts w:ascii="Times New Roman" w:hAnsi="Times New Roman" w:cs="Times New Roman"/>
        </w:rPr>
        <w:t>critical</w:t>
      </w:r>
      <w:proofErr w:type="gramEnd"/>
      <w:r w:rsidR="005B6481">
        <w:rPr>
          <w:rFonts w:ascii="Times New Roman" w:hAnsi="Times New Roman" w:cs="Times New Roman"/>
        </w:rPr>
        <w:t xml:space="preserve"> think</w:t>
      </w:r>
      <w:r w:rsidRPr="00C45C09">
        <w:rPr>
          <w:rFonts w:ascii="Times New Roman" w:hAnsi="Times New Roman" w:cs="Times New Roman"/>
        </w:rPr>
        <w:t xml:space="preserve">ing. </w:t>
      </w:r>
      <w:r w:rsidRPr="00C45C09">
        <w:rPr>
          <w:rFonts w:ascii="Times New Roman" w:hAnsi="Times New Roman" w:cs="Times New Roman"/>
          <w:i/>
        </w:rPr>
        <w:t>American Educator</w:t>
      </w:r>
      <w:r w:rsidRPr="00C45C09">
        <w:rPr>
          <w:rFonts w:ascii="Times New Roman" w:hAnsi="Times New Roman" w:cs="Times New Roman"/>
        </w:rPr>
        <w:t>, 31(3), 8-19.</w:t>
      </w:r>
    </w:p>
    <w:p w:rsidR="00580987" w:rsidRPr="00526F7B" w:rsidRDefault="00580987" w:rsidP="00580987">
      <w:pPr>
        <w:pStyle w:val="CritThnRef"/>
        <w:ind w:right="0"/>
        <w:rPr>
          <w:rFonts w:ascii="Times New Roman" w:hAnsi="Times New Roman" w:cs="Times New Roman"/>
        </w:rPr>
      </w:pPr>
      <w:r w:rsidRPr="00526F7B">
        <w:rPr>
          <w:rFonts w:ascii="Times New Roman" w:hAnsi="Times New Roman" w:cs="Times New Roman"/>
        </w:rPr>
        <w:t>Wong, W. L., Shen, C., Nocera, L., Carriazo, E., Tang, F., Bugga, S</w:t>
      </w:r>
      <w:proofErr w:type="gramStart"/>
      <w:r w:rsidRPr="00526F7B">
        <w:rPr>
          <w:rFonts w:ascii="Times New Roman" w:hAnsi="Times New Roman" w:cs="Times New Roman"/>
        </w:rPr>
        <w:t>., ...</w:t>
      </w:r>
      <w:proofErr w:type="gramEnd"/>
      <w:r w:rsidRPr="00526F7B">
        <w:rPr>
          <w:rFonts w:ascii="Times New Roman" w:hAnsi="Times New Roman" w:cs="Times New Roman"/>
        </w:rPr>
        <w:t xml:space="preserve"> &amp; Ritterfeld, U. (2007, June). Serious video game effectiveness. In Proceedings of the international conference on </w:t>
      </w:r>
      <w:r w:rsidRPr="00526F7B">
        <w:rPr>
          <w:rFonts w:ascii="Times New Roman" w:hAnsi="Times New Roman" w:cs="Times New Roman"/>
          <w:i/>
        </w:rPr>
        <w:t>Advances in Computer Entertainment Technology</w:t>
      </w:r>
      <w:r w:rsidRPr="00526F7B">
        <w:rPr>
          <w:rFonts w:ascii="Times New Roman" w:hAnsi="Times New Roman" w:cs="Times New Roman"/>
        </w:rPr>
        <w:t xml:space="preserve"> (pp. 49-55). ACM. </w:t>
      </w:r>
    </w:p>
    <w:sectPr w:rsidR="00580987" w:rsidRPr="00526F7B" w:rsidSect="00580987">
      <w:headerReference w:type="default" r:id="rId19"/>
      <w:footerReference w:type="default" r:id="rId20"/>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5381" w:rsidRDefault="00E15381">
      <w:r>
        <w:separator/>
      </w:r>
    </w:p>
  </w:endnote>
  <w:endnote w:type="continuationSeparator" w:id="0">
    <w:p w:rsidR="00E15381" w:rsidRDefault="00E1538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Footer"/>
      <w:tabs>
        <w:tab w:val="clear" w:pos="8640"/>
        <w:tab w:val="right" w:pos="10080"/>
      </w:tabs>
      <w:rPr>
        <w:i/>
        <w:snapToGrid w:val="0"/>
        <w:sz w:val="18"/>
        <w:szCs w:val="18"/>
      </w:rPr>
    </w:pPr>
    <w:r>
      <w:rPr>
        <w:i/>
        <w:sz w:val="18"/>
        <w:szCs w:val="18"/>
      </w:rPr>
      <w:t>201</w:t>
    </w:r>
    <w:r w:rsidR="002644E5">
      <w:rPr>
        <w:i/>
        <w:sz w:val="18"/>
        <w:szCs w:val="18"/>
      </w:rPr>
      <w:t>7</w:t>
    </w:r>
    <w:r>
      <w:rPr>
        <w:i/>
        <w:sz w:val="18"/>
        <w:szCs w:val="18"/>
      </w:rPr>
      <w:t xml:space="preserve"> Paper No. </w:t>
    </w:r>
    <w:r w:rsidR="001B4B31">
      <w:rPr>
        <w:i/>
        <w:sz w:val="18"/>
        <w:szCs w:val="18"/>
      </w:rPr>
      <w:t>17005 Page</w:t>
    </w:r>
    <w:r>
      <w:rPr>
        <w:i/>
        <w:snapToGrid w:val="0"/>
        <w:sz w:val="18"/>
        <w:szCs w:val="18"/>
      </w:rPr>
      <w:t xml:space="preserve"> </w:t>
    </w:r>
    <w:r w:rsidR="009F300B">
      <w:rPr>
        <w:i/>
        <w:snapToGrid w:val="0"/>
        <w:sz w:val="18"/>
        <w:szCs w:val="18"/>
      </w:rPr>
      <w:fldChar w:fldCharType="begin"/>
    </w:r>
    <w:r>
      <w:rPr>
        <w:i/>
        <w:snapToGrid w:val="0"/>
        <w:sz w:val="18"/>
        <w:szCs w:val="18"/>
      </w:rPr>
      <w:instrText xml:space="preserve"> PAGE </w:instrText>
    </w:r>
    <w:r w:rsidR="009F300B">
      <w:rPr>
        <w:i/>
        <w:snapToGrid w:val="0"/>
        <w:sz w:val="18"/>
        <w:szCs w:val="18"/>
      </w:rPr>
      <w:fldChar w:fldCharType="separate"/>
    </w:r>
    <w:r w:rsidR="007E4DC6">
      <w:rPr>
        <w:i/>
        <w:noProof/>
        <w:snapToGrid w:val="0"/>
        <w:sz w:val="18"/>
        <w:szCs w:val="18"/>
      </w:rPr>
      <w:t>1</w:t>
    </w:r>
    <w:r w:rsidR="009F300B">
      <w:rPr>
        <w:i/>
        <w:snapToGrid w:val="0"/>
        <w:sz w:val="18"/>
        <w:szCs w:val="18"/>
      </w:rPr>
      <w:fldChar w:fldCharType="end"/>
    </w:r>
    <w:r>
      <w:rPr>
        <w:i/>
        <w:snapToGrid w:val="0"/>
        <w:sz w:val="18"/>
        <w:szCs w:val="18"/>
      </w:rPr>
      <w:t xml:space="preserve"> of </w:t>
    </w:r>
    <w:r w:rsidR="009F300B">
      <w:rPr>
        <w:i/>
        <w:snapToGrid w:val="0"/>
        <w:sz w:val="18"/>
        <w:szCs w:val="18"/>
      </w:rPr>
      <w:fldChar w:fldCharType="begin"/>
    </w:r>
    <w:r>
      <w:rPr>
        <w:i/>
        <w:snapToGrid w:val="0"/>
        <w:sz w:val="18"/>
        <w:szCs w:val="18"/>
      </w:rPr>
      <w:instrText xml:space="preserve"> NUMPAGES </w:instrText>
    </w:r>
    <w:r w:rsidR="009F300B">
      <w:rPr>
        <w:i/>
        <w:snapToGrid w:val="0"/>
        <w:sz w:val="18"/>
        <w:szCs w:val="18"/>
      </w:rPr>
      <w:fldChar w:fldCharType="separate"/>
    </w:r>
    <w:r w:rsidR="007E4DC6">
      <w:rPr>
        <w:i/>
        <w:noProof/>
        <w:snapToGrid w:val="0"/>
        <w:sz w:val="18"/>
        <w:szCs w:val="18"/>
      </w:rPr>
      <w:t>14</w:t>
    </w:r>
    <w:r w:rsidR="009F300B">
      <w:rPr>
        <w:i/>
        <w:snapToGrid w:val="0"/>
        <w:sz w:val="18"/>
        <w:szCs w:val="18"/>
      </w:rPr>
      <w:fldChar w:fldCharType="end"/>
    </w:r>
  </w:p>
  <w:p w:rsidR="000A1DE4" w:rsidRDefault="000A1D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B70367">
    <w:pPr>
      <w:pStyle w:val="Footer"/>
      <w:tabs>
        <w:tab w:val="clear" w:pos="8640"/>
        <w:tab w:val="right" w:pos="10080"/>
      </w:tabs>
      <w:rPr>
        <w:i/>
        <w:snapToGrid w:val="0"/>
        <w:sz w:val="18"/>
        <w:szCs w:val="18"/>
      </w:rPr>
    </w:pPr>
    <w:r>
      <w:rPr>
        <w:i/>
        <w:sz w:val="18"/>
        <w:szCs w:val="18"/>
      </w:rPr>
      <w:t>2017</w:t>
    </w:r>
    <w:r w:rsidR="000A1DE4">
      <w:rPr>
        <w:i/>
        <w:sz w:val="18"/>
        <w:szCs w:val="18"/>
      </w:rPr>
      <w:t xml:space="preserve"> Paper No. 17005 </w:t>
    </w:r>
    <w:r w:rsidR="000A1DE4">
      <w:rPr>
        <w:i/>
        <w:snapToGrid w:val="0"/>
        <w:sz w:val="18"/>
        <w:szCs w:val="18"/>
      </w:rPr>
      <w:t xml:space="preserve">Page </w:t>
    </w:r>
    <w:r w:rsidR="009F300B">
      <w:rPr>
        <w:i/>
        <w:snapToGrid w:val="0"/>
        <w:sz w:val="18"/>
        <w:szCs w:val="18"/>
      </w:rPr>
      <w:fldChar w:fldCharType="begin"/>
    </w:r>
    <w:r w:rsidR="000A1DE4">
      <w:rPr>
        <w:i/>
        <w:snapToGrid w:val="0"/>
        <w:sz w:val="18"/>
        <w:szCs w:val="18"/>
      </w:rPr>
      <w:instrText xml:space="preserve"> PAGE </w:instrText>
    </w:r>
    <w:r w:rsidR="009F300B">
      <w:rPr>
        <w:i/>
        <w:snapToGrid w:val="0"/>
        <w:sz w:val="18"/>
        <w:szCs w:val="18"/>
      </w:rPr>
      <w:fldChar w:fldCharType="separate"/>
    </w:r>
    <w:r w:rsidR="007E4DC6">
      <w:rPr>
        <w:i/>
        <w:noProof/>
        <w:snapToGrid w:val="0"/>
        <w:sz w:val="18"/>
        <w:szCs w:val="18"/>
      </w:rPr>
      <w:t>14</w:t>
    </w:r>
    <w:r w:rsidR="009F300B">
      <w:rPr>
        <w:i/>
        <w:snapToGrid w:val="0"/>
        <w:sz w:val="18"/>
        <w:szCs w:val="18"/>
      </w:rPr>
      <w:fldChar w:fldCharType="end"/>
    </w:r>
    <w:r w:rsidR="000A1DE4">
      <w:rPr>
        <w:i/>
        <w:snapToGrid w:val="0"/>
        <w:sz w:val="18"/>
        <w:szCs w:val="18"/>
      </w:rPr>
      <w:t xml:space="preserve"> of </w:t>
    </w:r>
    <w:r w:rsidR="009F300B">
      <w:rPr>
        <w:i/>
        <w:snapToGrid w:val="0"/>
        <w:sz w:val="18"/>
        <w:szCs w:val="18"/>
      </w:rPr>
      <w:fldChar w:fldCharType="begin"/>
    </w:r>
    <w:r w:rsidR="000A1DE4">
      <w:rPr>
        <w:i/>
        <w:snapToGrid w:val="0"/>
        <w:sz w:val="18"/>
        <w:szCs w:val="18"/>
      </w:rPr>
      <w:instrText xml:space="preserve"> NUMPAGES </w:instrText>
    </w:r>
    <w:r w:rsidR="009F300B">
      <w:rPr>
        <w:i/>
        <w:snapToGrid w:val="0"/>
        <w:sz w:val="18"/>
        <w:szCs w:val="18"/>
      </w:rPr>
      <w:fldChar w:fldCharType="separate"/>
    </w:r>
    <w:r w:rsidR="007E4DC6">
      <w:rPr>
        <w:i/>
        <w:noProof/>
        <w:snapToGrid w:val="0"/>
        <w:sz w:val="18"/>
        <w:szCs w:val="18"/>
      </w:rPr>
      <w:t>14</w:t>
    </w:r>
    <w:r w:rsidR="009F300B">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5381" w:rsidRDefault="00E15381">
      <w:r>
        <w:separator/>
      </w:r>
    </w:p>
  </w:footnote>
  <w:footnote w:type="continuationSeparator" w:id="0">
    <w:p w:rsidR="00E15381" w:rsidRDefault="00E1538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rsidP="0044471B">
    <w:pPr>
      <w:pStyle w:val="Header"/>
      <w:tabs>
        <w:tab w:val="clear" w:pos="8640"/>
        <w:tab w:val="left" w:pos="9360"/>
      </w:tabs>
      <w:jc w:val="right"/>
      <w:rPr>
        <w:i/>
        <w:iCs/>
        <w:sz w:val="18"/>
      </w:rPr>
    </w:pPr>
    <w:r>
      <w:rPr>
        <w:i/>
        <w:iCs/>
        <w:sz w:val="18"/>
      </w:rPr>
      <w:t>Interservice/Industry Training, Simulation, and Education Conference (I/ITSEC) 2017</w:t>
    </w:r>
  </w:p>
  <w:p w:rsidR="000A1DE4" w:rsidRDefault="000A1D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1DE4" w:rsidRDefault="000A1DE4">
    <w:pPr>
      <w:pStyle w:val="Header"/>
      <w:ind w:right="-90"/>
      <w:jc w:val="right"/>
      <w:rPr>
        <w:i/>
        <w:iCs/>
        <w:sz w:val="16"/>
      </w:rPr>
    </w:pPr>
  </w:p>
  <w:p w:rsidR="000A1DE4" w:rsidRDefault="000A1DE4">
    <w:pPr>
      <w:pStyle w:val="Header"/>
      <w:jc w:val="right"/>
      <w:rPr>
        <w:i/>
        <w:iCs/>
        <w:sz w:val="16"/>
      </w:rPr>
    </w:pPr>
  </w:p>
  <w:p w:rsidR="000A1DE4" w:rsidRDefault="000A1DE4">
    <w:pPr>
      <w:pStyle w:val="Header"/>
      <w:jc w:val="right"/>
      <w:rPr>
        <w:i/>
        <w:iCs/>
        <w:sz w:val="18"/>
      </w:rPr>
    </w:pPr>
  </w:p>
  <w:p w:rsidR="000A1DE4" w:rsidRDefault="000A1DE4" w:rsidP="00754297">
    <w:pPr>
      <w:pStyle w:val="Header"/>
      <w:tabs>
        <w:tab w:val="clear" w:pos="8640"/>
        <w:tab w:val="left" w:pos="9360"/>
      </w:tabs>
      <w:jc w:val="right"/>
      <w:rPr>
        <w:i/>
        <w:iCs/>
        <w:sz w:val="18"/>
      </w:rPr>
    </w:pPr>
    <w:r>
      <w:rPr>
        <w:i/>
        <w:iCs/>
        <w:sz w:val="18"/>
      </w:rPr>
      <w:t>Interservice/Industry Training, Simulation, and Education Conference (I/ITSEC) 2017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42913F0"/>
    <w:multiLevelType w:val="hybridMultilevel"/>
    <w:tmpl w:val="246A4A80"/>
    <w:lvl w:ilvl="0" w:tplc="930E1474">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66A80560"/>
    <w:multiLevelType w:val="hybridMultilevel"/>
    <w:tmpl w:val="CBB45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8"/>
  </w:num>
  <w:num w:numId="3">
    <w:abstractNumId w:val="16"/>
  </w:num>
  <w:num w:numId="4">
    <w:abstractNumId w:val="13"/>
  </w:num>
  <w:num w:numId="5">
    <w:abstractNumId w:val="14"/>
  </w:num>
  <w:num w:numId="6">
    <w:abstractNumId w:val="12"/>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79874"/>
  </w:hdrShapeDefaults>
  <w:footnotePr>
    <w:footnote w:id="-1"/>
    <w:footnote w:id="0"/>
  </w:footnotePr>
  <w:endnotePr>
    <w:endnote w:id="-1"/>
    <w:endnote w:id="0"/>
  </w:endnotePr>
  <w:compat/>
  <w:rsids>
    <w:rsidRoot w:val="00960E20"/>
    <w:rsid w:val="00000E15"/>
    <w:rsid w:val="00007D0E"/>
    <w:rsid w:val="00012374"/>
    <w:rsid w:val="0002582F"/>
    <w:rsid w:val="00036301"/>
    <w:rsid w:val="000413D5"/>
    <w:rsid w:val="000477E1"/>
    <w:rsid w:val="0005593A"/>
    <w:rsid w:val="000612C8"/>
    <w:rsid w:val="00065002"/>
    <w:rsid w:val="00066D00"/>
    <w:rsid w:val="00066D1A"/>
    <w:rsid w:val="00070559"/>
    <w:rsid w:val="00075DB3"/>
    <w:rsid w:val="00087D35"/>
    <w:rsid w:val="000A1DE4"/>
    <w:rsid w:val="000A767C"/>
    <w:rsid w:val="000C1C99"/>
    <w:rsid w:val="000C4F68"/>
    <w:rsid w:val="000D1496"/>
    <w:rsid w:val="000F3D8C"/>
    <w:rsid w:val="000F49D9"/>
    <w:rsid w:val="00114BAC"/>
    <w:rsid w:val="00141C34"/>
    <w:rsid w:val="001424C9"/>
    <w:rsid w:val="00143ED5"/>
    <w:rsid w:val="00146BCC"/>
    <w:rsid w:val="00150BC4"/>
    <w:rsid w:val="00164EE1"/>
    <w:rsid w:val="001674A1"/>
    <w:rsid w:val="001721DA"/>
    <w:rsid w:val="00187AD3"/>
    <w:rsid w:val="001925A8"/>
    <w:rsid w:val="001942F3"/>
    <w:rsid w:val="001A0CD1"/>
    <w:rsid w:val="001A6FD3"/>
    <w:rsid w:val="001B4B31"/>
    <w:rsid w:val="001B6B93"/>
    <w:rsid w:val="001C508A"/>
    <w:rsid w:val="001C607D"/>
    <w:rsid w:val="001E0E90"/>
    <w:rsid w:val="001E4009"/>
    <w:rsid w:val="001F4737"/>
    <w:rsid w:val="001F6771"/>
    <w:rsid w:val="001F71B8"/>
    <w:rsid w:val="00211BB8"/>
    <w:rsid w:val="00214B4E"/>
    <w:rsid w:val="002225D4"/>
    <w:rsid w:val="00222AE4"/>
    <w:rsid w:val="002303BB"/>
    <w:rsid w:val="00236DDB"/>
    <w:rsid w:val="00237A3D"/>
    <w:rsid w:val="002410C8"/>
    <w:rsid w:val="00241C3F"/>
    <w:rsid w:val="00244B48"/>
    <w:rsid w:val="00252D49"/>
    <w:rsid w:val="00255631"/>
    <w:rsid w:val="002557D9"/>
    <w:rsid w:val="0026399C"/>
    <w:rsid w:val="002644E5"/>
    <w:rsid w:val="00266860"/>
    <w:rsid w:val="002702DA"/>
    <w:rsid w:val="002853DC"/>
    <w:rsid w:val="002903AE"/>
    <w:rsid w:val="002A26A2"/>
    <w:rsid w:val="002A7A5D"/>
    <w:rsid w:val="002A7BBB"/>
    <w:rsid w:val="002B0F45"/>
    <w:rsid w:val="002B3A93"/>
    <w:rsid w:val="002B6BDF"/>
    <w:rsid w:val="002C398C"/>
    <w:rsid w:val="002D42D3"/>
    <w:rsid w:val="002E0771"/>
    <w:rsid w:val="002E383E"/>
    <w:rsid w:val="002E70B7"/>
    <w:rsid w:val="00326A21"/>
    <w:rsid w:val="00341EFA"/>
    <w:rsid w:val="00341FDC"/>
    <w:rsid w:val="00344FA1"/>
    <w:rsid w:val="003572B1"/>
    <w:rsid w:val="00357FC7"/>
    <w:rsid w:val="0036195D"/>
    <w:rsid w:val="0038763D"/>
    <w:rsid w:val="003929FC"/>
    <w:rsid w:val="00394854"/>
    <w:rsid w:val="00397434"/>
    <w:rsid w:val="003A4EEC"/>
    <w:rsid w:val="003B0C0E"/>
    <w:rsid w:val="003B2FA9"/>
    <w:rsid w:val="003C091C"/>
    <w:rsid w:val="003C2DE4"/>
    <w:rsid w:val="003D2540"/>
    <w:rsid w:val="003D2A98"/>
    <w:rsid w:val="003D7A7A"/>
    <w:rsid w:val="003E3EAC"/>
    <w:rsid w:val="003F138E"/>
    <w:rsid w:val="003F2BB2"/>
    <w:rsid w:val="003F70FA"/>
    <w:rsid w:val="0040733B"/>
    <w:rsid w:val="00414D08"/>
    <w:rsid w:val="004235A8"/>
    <w:rsid w:val="004256CC"/>
    <w:rsid w:val="0043042A"/>
    <w:rsid w:val="0044471B"/>
    <w:rsid w:val="00454FB0"/>
    <w:rsid w:val="0045657A"/>
    <w:rsid w:val="00457803"/>
    <w:rsid w:val="00463055"/>
    <w:rsid w:val="004728AB"/>
    <w:rsid w:val="00476289"/>
    <w:rsid w:val="00496623"/>
    <w:rsid w:val="004B794A"/>
    <w:rsid w:val="004C121F"/>
    <w:rsid w:val="004C3AC3"/>
    <w:rsid w:val="004D19AD"/>
    <w:rsid w:val="004D7C00"/>
    <w:rsid w:val="004E0F35"/>
    <w:rsid w:val="004E2016"/>
    <w:rsid w:val="004F0B48"/>
    <w:rsid w:val="004F5761"/>
    <w:rsid w:val="0051280E"/>
    <w:rsid w:val="00514745"/>
    <w:rsid w:val="00520735"/>
    <w:rsid w:val="00524817"/>
    <w:rsid w:val="00524901"/>
    <w:rsid w:val="00526F7B"/>
    <w:rsid w:val="005322A6"/>
    <w:rsid w:val="00533EBD"/>
    <w:rsid w:val="00534D91"/>
    <w:rsid w:val="005421A5"/>
    <w:rsid w:val="00546E68"/>
    <w:rsid w:val="00550480"/>
    <w:rsid w:val="00553B49"/>
    <w:rsid w:val="00560365"/>
    <w:rsid w:val="00573611"/>
    <w:rsid w:val="005743F5"/>
    <w:rsid w:val="00574692"/>
    <w:rsid w:val="0057548A"/>
    <w:rsid w:val="00576088"/>
    <w:rsid w:val="00580987"/>
    <w:rsid w:val="00580EB1"/>
    <w:rsid w:val="005823F3"/>
    <w:rsid w:val="005840E5"/>
    <w:rsid w:val="005A2964"/>
    <w:rsid w:val="005B5D2E"/>
    <w:rsid w:val="005B6481"/>
    <w:rsid w:val="005B6B1A"/>
    <w:rsid w:val="005B71CA"/>
    <w:rsid w:val="005B7EB5"/>
    <w:rsid w:val="005C3F0D"/>
    <w:rsid w:val="005D1B21"/>
    <w:rsid w:val="005D722B"/>
    <w:rsid w:val="005E4F99"/>
    <w:rsid w:val="006039BE"/>
    <w:rsid w:val="00616449"/>
    <w:rsid w:val="00617928"/>
    <w:rsid w:val="00617945"/>
    <w:rsid w:val="0062049B"/>
    <w:rsid w:val="0062514C"/>
    <w:rsid w:val="00626594"/>
    <w:rsid w:val="00646A17"/>
    <w:rsid w:val="006502A5"/>
    <w:rsid w:val="006537E5"/>
    <w:rsid w:val="00661B9A"/>
    <w:rsid w:val="006652FC"/>
    <w:rsid w:val="00672C1C"/>
    <w:rsid w:val="00675039"/>
    <w:rsid w:val="00675293"/>
    <w:rsid w:val="00676BBE"/>
    <w:rsid w:val="00694ECB"/>
    <w:rsid w:val="006A46AC"/>
    <w:rsid w:val="006B0887"/>
    <w:rsid w:val="006B0971"/>
    <w:rsid w:val="006B7AF1"/>
    <w:rsid w:val="006C12A7"/>
    <w:rsid w:val="006C46CB"/>
    <w:rsid w:val="006D3F05"/>
    <w:rsid w:val="006E6255"/>
    <w:rsid w:val="006F563C"/>
    <w:rsid w:val="007024BE"/>
    <w:rsid w:val="007038B3"/>
    <w:rsid w:val="0071734F"/>
    <w:rsid w:val="007223B2"/>
    <w:rsid w:val="00723E3B"/>
    <w:rsid w:val="00726031"/>
    <w:rsid w:val="0073672F"/>
    <w:rsid w:val="00743143"/>
    <w:rsid w:val="007500A3"/>
    <w:rsid w:val="00754297"/>
    <w:rsid w:val="00755052"/>
    <w:rsid w:val="007557CA"/>
    <w:rsid w:val="00762390"/>
    <w:rsid w:val="00764D77"/>
    <w:rsid w:val="007651DF"/>
    <w:rsid w:val="007678F8"/>
    <w:rsid w:val="00782EFB"/>
    <w:rsid w:val="00786C4B"/>
    <w:rsid w:val="0079045B"/>
    <w:rsid w:val="007A5312"/>
    <w:rsid w:val="007C1C8F"/>
    <w:rsid w:val="007C263F"/>
    <w:rsid w:val="007D3F33"/>
    <w:rsid w:val="007D653E"/>
    <w:rsid w:val="007E2964"/>
    <w:rsid w:val="007E4DC6"/>
    <w:rsid w:val="007E4F2F"/>
    <w:rsid w:val="007E65E5"/>
    <w:rsid w:val="007F44C6"/>
    <w:rsid w:val="008070F5"/>
    <w:rsid w:val="00810C67"/>
    <w:rsid w:val="008116E6"/>
    <w:rsid w:val="00827673"/>
    <w:rsid w:val="008369E8"/>
    <w:rsid w:val="00843927"/>
    <w:rsid w:val="00850E24"/>
    <w:rsid w:val="00851495"/>
    <w:rsid w:val="00856783"/>
    <w:rsid w:val="00860816"/>
    <w:rsid w:val="00862EB5"/>
    <w:rsid w:val="00866FC2"/>
    <w:rsid w:val="00870BF0"/>
    <w:rsid w:val="00871B17"/>
    <w:rsid w:val="0087315B"/>
    <w:rsid w:val="00873B59"/>
    <w:rsid w:val="00874FA4"/>
    <w:rsid w:val="0088452A"/>
    <w:rsid w:val="00890D30"/>
    <w:rsid w:val="00897658"/>
    <w:rsid w:val="008A147A"/>
    <w:rsid w:val="008A6277"/>
    <w:rsid w:val="008A7B3A"/>
    <w:rsid w:val="008B3589"/>
    <w:rsid w:val="008C1722"/>
    <w:rsid w:val="008D129F"/>
    <w:rsid w:val="008D4E4A"/>
    <w:rsid w:val="008E583A"/>
    <w:rsid w:val="008E6450"/>
    <w:rsid w:val="008E7B15"/>
    <w:rsid w:val="008F3342"/>
    <w:rsid w:val="008F4711"/>
    <w:rsid w:val="008F4A7F"/>
    <w:rsid w:val="008F526A"/>
    <w:rsid w:val="0090163A"/>
    <w:rsid w:val="009046EE"/>
    <w:rsid w:val="00911C41"/>
    <w:rsid w:val="00932760"/>
    <w:rsid w:val="00932996"/>
    <w:rsid w:val="00944BE8"/>
    <w:rsid w:val="00945EBA"/>
    <w:rsid w:val="009463B0"/>
    <w:rsid w:val="00956E5D"/>
    <w:rsid w:val="00960E20"/>
    <w:rsid w:val="009648EB"/>
    <w:rsid w:val="00965B07"/>
    <w:rsid w:val="00971F3D"/>
    <w:rsid w:val="009A12AC"/>
    <w:rsid w:val="009A2A2B"/>
    <w:rsid w:val="009A4C9D"/>
    <w:rsid w:val="009C1643"/>
    <w:rsid w:val="009C4AB9"/>
    <w:rsid w:val="009C7EAE"/>
    <w:rsid w:val="009D43E0"/>
    <w:rsid w:val="009E73D4"/>
    <w:rsid w:val="009F300B"/>
    <w:rsid w:val="009F4744"/>
    <w:rsid w:val="00A354E0"/>
    <w:rsid w:val="00A4442B"/>
    <w:rsid w:val="00A50643"/>
    <w:rsid w:val="00A54CD5"/>
    <w:rsid w:val="00A566D5"/>
    <w:rsid w:val="00A57CF2"/>
    <w:rsid w:val="00A62146"/>
    <w:rsid w:val="00A649C5"/>
    <w:rsid w:val="00A7039A"/>
    <w:rsid w:val="00A84D10"/>
    <w:rsid w:val="00AA07F5"/>
    <w:rsid w:val="00AD0B21"/>
    <w:rsid w:val="00AD1282"/>
    <w:rsid w:val="00AD2D9D"/>
    <w:rsid w:val="00AD4CCD"/>
    <w:rsid w:val="00AE4823"/>
    <w:rsid w:val="00AF61A5"/>
    <w:rsid w:val="00AF6F25"/>
    <w:rsid w:val="00B0660E"/>
    <w:rsid w:val="00B077F4"/>
    <w:rsid w:val="00B22F59"/>
    <w:rsid w:val="00B30E27"/>
    <w:rsid w:val="00B32F4A"/>
    <w:rsid w:val="00B33B0E"/>
    <w:rsid w:val="00B44E32"/>
    <w:rsid w:val="00B50713"/>
    <w:rsid w:val="00B57A4D"/>
    <w:rsid w:val="00B624F2"/>
    <w:rsid w:val="00B70367"/>
    <w:rsid w:val="00B81A59"/>
    <w:rsid w:val="00B8600C"/>
    <w:rsid w:val="00B95E43"/>
    <w:rsid w:val="00BB00A3"/>
    <w:rsid w:val="00BB2066"/>
    <w:rsid w:val="00BC1CCF"/>
    <w:rsid w:val="00BC2595"/>
    <w:rsid w:val="00BD293C"/>
    <w:rsid w:val="00BE23B6"/>
    <w:rsid w:val="00BF1E56"/>
    <w:rsid w:val="00BF38C4"/>
    <w:rsid w:val="00BF3ACB"/>
    <w:rsid w:val="00BF7443"/>
    <w:rsid w:val="00C10A0B"/>
    <w:rsid w:val="00C2083B"/>
    <w:rsid w:val="00C218BC"/>
    <w:rsid w:val="00C245B0"/>
    <w:rsid w:val="00C34006"/>
    <w:rsid w:val="00C3532D"/>
    <w:rsid w:val="00C45C09"/>
    <w:rsid w:val="00C475F0"/>
    <w:rsid w:val="00C51199"/>
    <w:rsid w:val="00C51CA6"/>
    <w:rsid w:val="00C53339"/>
    <w:rsid w:val="00C54CD1"/>
    <w:rsid w:val="00C54E27"/>
    <w:rsid w:val="00C619A4"/>
    <w:rsid w:val="00C81B0D"/>
    <w:rsid w:val="00C84EF5"/>
    <w:rsid w:val="00C9057B"/>
    <w:rsid w:val="00CA4571"/>
    <w:rsid w:val="00CA69E8"/>
    <w:rsid w:val="00CD01F7"/>
    <w:rsid w:val="00CD5128"/>
    <w:rsid w:val="00CE614A"/>
    <w:rsid w:val="00CE634C"/>
    <w:rsid w:val="00CF4E8F"/>
    <w:rsid w:val="00CF6760"/>
    <w:rsid w:val="00D02740"/>
    <w:rsid w:val="00D079ED"/>
    <w:rsid w:val="00D15856"/>
    <w:rsid w:val="00D25B5E"/>
    <w:rsid w:val="00D26937"/>
    <w:rsid w:val="00D416DA"/>
    <w:rsid w:val="00D63FE3"/>
    <w:rsid w:val="00D66E31"/>
    <w:rsid w:val="00D814EB"/>
    <w:rsid w:val="00D912FF"/>
    <w:rsid w:val="00D93A9C"/>
    <w:rsid w:val="00DA2496"/>
    <w:rsid w:val="00DA4AE3"/>
    <w:rsid w:val="00DB019D"/>
    <w:rsid w:val="00DB0C02"/>
    <w:rsid w:val="00DB1049"/>
    <w:rsid w:val="00DC591D"/>
    <w:rsid w:val="00DD2087"/>
    <w:rsid w:val="00DE7B9D"/>
    <w:rsid w:val="00DF124F"/>
    <w:rsid w:val="00E073C8"/>
    <w:rsid w:val="00E125AC"/>
    <w:rsid w:val="00E129F4"/>
    <w:rsid w:val="00E15381"/>
    <w:rsid w:val="00E17E24"/>
    <w:rsid w:val="00E25D74"/>
    <w:rsid w:val="00E33355"/>
    <w:rsid w:val="00E340AE"/>
    <w:rsid w:val="00E34147"/>
    <w:rsid w:val="00E50F56"/>
    <w:rsid w:val="00E56AB8"/>
    <w:rsid w:val="00E62D04"/>
    <w:rsid w:val="00E72BF5"/>
    <w:rsid w:val="00E73C32"/>
    <w:rsid w:val="00EA3E65"/>
    <w:rsid w:val="00EB03F4"/>
    <w:rsid w:val="00EC3FBB"/>
    <w:rsid w:val="00EE3DEC"/>
    <w:rsid w:val="00EF6333"/>
    <w:rsid w:val="00EF78A2"/>
    <w:rsid w:val="00F12494"/>
    <w:rsid w:val="00F212E2"/>
    <w:rsid w:val="00F22FD6"/>
    <w:rsid w:val="00F257E1"/>
    <w:rsid w:val="00F40242"/>
    <w:rsid w:val="00F438C6"/>
    <w:rsid w:val="00F44B0C"/>
    <w:rsid w:val="00F51A55"/>
    <w:rsid w:val="00F52D45"/>
    <w:rsid w:val="00F6583D"/>
    <w:rsid w:val="00F71E73"/>
    <w:rsid w:val="00FB7893"/>
    <w:rsid w:val="00FD111C"/>
    <w:rsid w:val="00FD6486"/>
    <w:rsid w:val="00FD7C71"/>
    <w:rsid w:val="00FE0628"/>
    <w:rsid w:val="00FF058E"/>
    <w:rsid w:val="00FF5A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paragraph" w:customStyle="1" w:styleId="CritThnRef">
    <w:name w:val="CritThnRef"/>
    <w:basedOn w:val="Normal"/>
    <w:link w:val="CritThnRefChar"/>
    <w:qFormat/>
    <w:rsid w:val="00580987"/>
    <w:pPr>
      <w:keepLines/>
      <w:spacing w:after="120"/>
      <w:ind w:left="374" w:right="187" w:hanging="187"/>
      <w:jc w:val="both"/>
    </w:pPr>
    <w:rPr>
      <w:rFonts w:ascii="Garamond" w:eastAsiaTheme="minorHAnsi" w:hAnsi="Garamond" w:cstheme="minorBidi"/>
      <w:szCs w:val="22"/>
    </w:rPr>
  </w:style>
  <w:style w:type="character" w:customStyle="1" w:styleId="CritThnRefChar">
    <w:name w:val="CritThnRef Char"/>
    <w:basedOn w:val="DefaultParagraphFont"/>
    <w:link w:val="CritThnRef"/>
    <w:rsid w:val="00580987"/>
    <w:rPr>
      <w:rFonts w:ascii="Garamond" w:eastAsiaTheme="minorHAnsi" w:hAnsi="Garamond" w:cstheme="minorBidi"/>
      <w:szCs w:val="22"/>
    </w:rPr>
  </w:style>
  <w:style w:type="paragraph" w:customStyle="1" w:styleId="CritThnHd">
    <w:name w:val="CritThnHd"/>
    <w:basedOn w:val="Normal"/>
    <w:link w:val="CritThnHdChar"/>
    <w:qFormat/>
    <w:rsid w:val="00B624F2"/>
    <w:pPr>
      <w:keepNext/>
      <w:spacing w:after="120"/>
    </w:pPr>
    <w:rPr>
      <w:rFonts w:ascii="Garamond" w:eastAsiaTheme="minorHAnsi" w:hAnsi="Garamond" w:cstheme="minorBidi"/>
      <w:b/>
      <w:caps/>
      <w:sz w:val="23"/>
      <w:szCs w:val="22"/>
    </w:rPr>
  </w:style>
  <w:style w:type="character" w:customStyle="1" w:styleId="CritThnHdChar">
    <w:name w:val="CritThnHd Char"/>
    <w:basedOn w:val="DefaultParagraphFont"/>
    <w:link w:val="CritThnHd"/>
    <w:rsid w:val="00B624F2"/>
    <w:rPr>
      <w:rFonts w:ascii="Garamond" w:eastAsiaTheme="minorHAnsi" w:hAnsi="Garamond" w:cstheme="minorBidi"/>
      <w:b/>
      <w:caps/>
      <w:sz w:val="23"/>
      <w:szCs w:val="22"/>
    </w:rPr>
  </w:style>
  <w:style w:type="paragraph" w:customStyle="1" w:styleId="CrtThnSubHd">
    <w:name w:val="CrtThnSubHd"/>
    <w:basedOn w:val="CritThnHd"/>
    <w:link w:val="CrtThnSubHdChar"/>
    <w:qFormat/>
    <w:rsid w:val="00B624F2"/>
    <w:rPr>
      <w:caps w:val="0"/>
    </w:rPr>
  </w:style>
  <w:style w:type="character" w:customStyle="1" w:styleId="CrtThnSubHdChar">
    <w:name w:val="CrtThnSubHd Char"/>
    <w:basedOn w:val="CritThnHdChar"/>
    <w:link w:val="CrtThnSubHd"/>
    <w:rsid w:val="00B624F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qFormat/>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s>
</file>

<file path=word/webSettings.xml><?xml version="1.0" encoding="utf-8"?>
<w:webSettings xmlns:r="http://schemas.openxmlformats.org/officeDocument/2006/relationships" xmlns:w="http://schemas.openxmlformats.org/wordprocessingml/2006/main">
  <w:divs>
    <w:div w:id="1289968492">
      <w:bodyDiv w:val="1"/>
      <w:marLeft w:val="0"/>
      <w:marRight w:val="0"/>
      <w:marTop w:val="0"/>
      <w:marBottom w:val="0"/>
      <w:divBdr>
        <w:top w:val="none" w:sz="0" w:space="0" w:color="auto"/>
        <w:left w:val="none" w:sz="0" w:space="0" w:color="auto"/>
        <w:bottom w:val="none" w:sz="0" w:space="0" w:color="auto"/>
        <w:right w:val="none" w:sz="0" w:space="0" w:color="auto"/>
      </w:divBdr>
    </w:div>
    <w:div w:id="1314214413">
      <w:bodyDiv w:val="1"/>
      <w:marLeft w:val="0"/>
      <w:marRight w:val="0"/>
      <w:marTop w:val="0"/>
      <w:marBottom w:val="0"/>
      <w:divBdr>
        <w:top w:val="none" w:sz="0" w:space="0" w:color="auto"/>
        <w:left w:val="none" w:sz="0" w:space="0" w:color="auto"/>
        <w:bottom w:val="none" w:sz="0" w:space="0" w:color="auto"/>
        <w:right w:val="none" w:sz="0" w:space="0" w:color="auto"/>
      </w:divBdr>
      <w:divsChild>
        <w:div w:id="289554235">
          <w:marLeft w:val="0"/>
          <w:marRight w:val="0"/>
          <w:marTop w:val="0"/>
          <w:marBottom w:val="0"/>
          <w:divBdr>
            <w:top w:val="none" w:sz="0" w:space="0" w:color="auto"/>
            <w:left w:val="none" w:sz="0" w:space="0" w:color="auto"/>
            <w:bottom w:val="none" w:sz="0" w:space="0" w:color="auto"/>
            <w:right w:val="none" w:sz="0" w:space="0" w:color="auto"/>
          </w:divBdr>
          <w:divsChild>
            <w:div w:id="1038168634">
              <w:marLeft w:val="0"/>
              <w:marRight w:val="0"/>
              <w:marTop w:val="0"/>
              <w:marBottom w:val="0"/>
              <w:divBdr>
                <w:top w:val="none" w:sz="0" w:space="0" w:color="auto"/>
                <w:left w:val="none" w:sz="0" w:space="0" w:color="auto"/>
                <w:bottom w:val="none" w:sz="0" w:space="0" w:color="auto"/>
                <w:right w:val="none" w:sz="0" w:space="0" w:color="auto"/>
              </w:divBdr>
            </w:div>
            <w:div w:id="165467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83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5.jpeg"/><Relationship Id="rId26" Type="http://schemas.microsoft.com/office/2007/relationships/stylesWithEffects" Target="stylesWithEffects.xml"/><Relationship Id="rId3" Type="http://schemas.openxmlformats.org/officeDocument/2006/relationships/customXml" Target="../customXml/item2.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image" Target="media/image4.png"/><Relationship Id="rId2" Type="http://schemas.openxmlformats.org/officeDocument/2006/relationships/customXml" Target="../customXml/item1.xml"/><Relationship Id="rId16" Type="http://schemas.openxmlformats.org/officeDocument/2006/relationships/image" Target="media/image3.jpeg"/><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image" Target="media/image1.jpe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704BCEF5-1B6A-462E-AF02-91BDBA7B9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2004PaperTemplate_000</Template>
  <TotalTime>0</TotalTime>
  <Pages>14</Pages>
  <Words>8297</Words>
  <Characters>47294</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55481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2017-05-06T13:51:00Z</cp:lastPrinted>
  <dcterms:created xsi:type="dcterms:W3CDTF">2017-05-06T13:51:00Z</dcterms:created>
  <dcterms:modified xsi:type="dcterms:W3CDTF">2017-05-06T13:51:00Z</dcterms:modified>
</cp:coreProperties>
</file>