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EA3E65">
      <w:pPr>
        <w:pStyle w:val="Heading1"/>
      </w:pPr>
      <w:r w:rsidRPr="00526F7B">
        <w:t>ABSTRACT</w:t>
      </w:r>
    </w:p>
    <w:p w:rsidR="00EA3E65" w:rsidRPr="00526F7B" w:rsidRDefault="00EA3E65" w:rsidP="00EA3E65"/>
    <w:p w:rsidR="002644E5" w:rsidRPr="00526F7B" w:rsidRDefault="002644E5" w:rsidP="002644E5">
      <w:pPr>
        <w:pStyle w:val="Heading1"/>
        <w:jc w:val="both"/>
      </w:pPr>
      <w:r w:rsidRPr="00526F7B">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is always not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xml:space="preserve">. These capabilities tender a solution to global application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 xml:space="preserve">as the response vehicle for the conversation.  The efficacy of using an active voice recognition-enabled dialogue instead of a text delivered didactic approach is given.  The paper closes with a description of how such a system could effectively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EA3E65" w:rsidRPr="00526F7B" w:rsidRDefault="00EA3E65"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526F7B">
        <w:rPr>
          <w:b/>
          <w:bCs/>
        </w:rPr>
        <w:t>Dan M. Davis</w:t>
      </w:r>
      <w:r w:rsidRPr="00526F7B">
        <w:rPr>
          <w:bCs/>
        </w:rPr>
        <w:t xml:space="preserve"> is a consultant for the Institute</w:t>
      </w:r>
      <w:r w:rsidR="008F3342" w:rsidRPr="00526F7B">
        <w:rPr>
          <w:bCs/>
        </w:rPr>
        <w:t xml:space="preserve"> </w:t>
      </w:r>
      <w:r w:rsidR="00911C41" w:rsidRPr="00526F7B">
        <w:rPr>
          <w:bCs/>
        </w:rPr>
        <w:t>for Creative Technologies</w:t>
      </w:r>
      <w:r w:rsidRPr="00526F7B">
        <w:rPr>
          <w:bCs/>
        </w:rPr>
        <w:t>, University of Southern California, focusing on large-scale distributed DoD simulations</w:t>
      </w:r>
      <w:r w:rsidR="00911C41" w:rsidRPr="00526F7B">
        <w:rPr>
          <w:bCs/>
        </w:rPr>
        <w:t xml:space="preserve">. He was </w:t>
      </w:r>
      <w:r w:rsidRPr="00526F7B">
        <w:rPr>
          <w:bCs/>
        </w:rPr>
        <w:t xml:space="preserve">the Director of the JESPP project </w:t>
      </w:r>
      <w:r w:rsidR="00911C41" w:rsidRPr="00526F7B">
        <w:rPr>
          <w:bCs/>
        </w:rPr>
        <w:t>at JFCOM</w:t>
      </w:r>
      <w:r w:rsidRPr="00526F7B">
        <w:rPr>
          <w:bCs/>
        </w:rPr>
        <w:t xml:space="preserve"> </w:t>
      </w:r>
      <w:r w:rsidR="00911C41" w:rsidRPr="00526F7B">
        <w:rPr>
          <w:bCs/>
        </w:rPr>
        <w:t xml:space="preserve">for </w:t>
      </w:r>
      <w:r w:rsidRPr="00526F7B">
        <w:rPr>
          <w:bCs/>
        </w:rPr>
        <w:t xml:space="preserve">a decade.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6039BE" w:rsidRPr="00526F7B" w:rsidRDefault="006039BE"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5D1B21" w:rsidRPr="00526F7B" w:rsidRDefault="005D1B21" w:rsidP="005D1B21">
      <w:pPr>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5D1B21" w:rsidRPr="00526F7B" w:rsidRDefault="005D1B21" w:rsidP="005D1B21">
      <w:pPr>
        <w:jc w:val="both"/>
        <w:rPr>
          <w:b/>
          <w:bCs/>
        </w:rPr>
      </w:pPr>
    </w:p>
    <w:p w:rsidR="00971F3D" w:rsidRPr="00526F7B" w:rsidRDefault="002644E5" w:rsidP="00036301">
      <w:pPr>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project under the supervision of CNSG and SPAWAR and was instrumental in the interior design of the ES-3A </w:t>
      </w:r>
      <w:r w:rsidRPr="002C060C">
        <w:rPr>
          <w:bCs/>
        </w:rPr>
        <w:lastRenderedPageBreak/>
        <w:t>Aircraft.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t>
      </w:r>
      <w:r w:rsidR="009D43E0">
        <w:t>expenditures</w:t>
      </w:r>
      <w:r w:rsidRPr="00526F7B">
        <w:t xml:space="preserve"> of life. </w:t>
      </w:r>
      <w:r w:rsidR="009D43E0">
        <w:t>(Bradley, 2000)</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 xml:space="preserve">(Guillot, 2004) One senior enlisted </w:t>
      </w:r>
      <w:proofErr w:type="spellStart"/>
      <w:r w:rsidR="0057548A">
        <w:t>warfighter</w:t>
      </w:r>
      <w:proofErr w:type="spellEnd"/>
      <w:r w:rsidR="0057548A">
        <w:t xml:space="preserve"> defined it as:  Q</w:t>
      </w:r>
      <w:r>
        <w:t>uite simply stated</w:t>
      </w:r>
      <w:r w:rsidR="0057548A">
        <w:t>, it</w:t>
      </w:r>
      <w:r>
        <w:t xml:space="preserve"> is to encourage questions regarding specific instances and then use a bevy of "What if</w:t>
      </w:r>
      <w:r w:rsidR="0057548A">
        <w:t>?</w:t>
      </w:r>
      <w:r>
        <w:t>"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 xml:space="preserve">Context free covers a wide range of possibilities and concerns itself with the overall picture.  As </w:t>
      </w:r>
      <w:r w:rsidR="00457803">
        <w:t>service personnel</w:t>
      </w:r>
      <w:r>
        <w:t xml:space="preserve"> advance in pay grade, responsibility</w:t>
      </w:r>
      <w:r w:rsidR="00457803">
        <w:t xml:space="preserve">, and knowledge, they will and </w:t>
      </w:r>
      <w:r>
        <w:t>should transform to context free critical thinking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watch section chief and similar position were being filled by E-6 level non-commissioned and petty officers.  At the same time, the pressure to ear associates and bachelor’s degrees on mid-grade enlisted personnel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w:t>
      </w:r>
      <w:r w:rsidR="00146BCC">
        <w:t xml:space="preserve"> (DoD, 2015)</w:t>
      </w:r>
      <w:r w:rsidR="0090163A">
        <w:t xml:space="preserve">. </w:t>
      </w:r>
    </w:p>
    <w:p w:rsidR="00457803" w:rsidRDefault="00457803" w:rsidP="005322A6">
      <w:pPr>
        <w:jc w:val="both"/>
      </w:pPr>
    </w:p>
    <w:p w:rsidR="00BF38C4" w:rsidRDefault="00BF38C4" w:rsidP="005322A6">
      <w:pPr>
        <w:jc w:val="both"/>
      </w:pPr>
      <w:r>
        <w:t xml:space="preserve">One of the benefits of gradually increasing </w:t>
      </w:r>
      <w:r w:rsidR="009A4C9D">
        <w:t>becoming proficient</w:t>
      </w:r>
      <w:r>
        <w:t xml:space="preserve"> in the critical thinking </w:t>
      </w:r>
      <w:r w:rsidR="00FD6486">
        <w:t>process</w:t>
      </w:r>
      <w:r>
        <w:t xml:space="preserve"> is that those individuals may often have </w:t>
      </w:r>
      <w:r w:rsidR="009A4C9D">
        <w:t xml:space="preserve">intimate </w:t>
      </w:r>
      <w:r>
        <w:t xml:space="preserve">knowledge about a certain task that </w:t>
      </w:r>
      <w:r w:rsidR="009A4C9D">
        <w:t>those senior to them</w:t>
      </w:r>
      <w:r>
        <w:t xml:space="preserve"> might not have.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t xml:space="preserve">.  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the ship was actually off the coast of South America.</w:t>
      </w:r>
      <w:r w:rsidR="00616449">
        <w:t xml:space="preserve"> Such critical thinking on the part of that CPO and his team were not only expected of them, it was delivered when needed.</w:t>
      </w:r>
      <w:r w:rsidR="00FD6486">
        <w:t xml:space="preserve"> This Navy team was made 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germane and rational answers. </w:t>
      </w:r>
      <w:r w:rsidR="00FE0628">
        <w:t>It is the authors’ opinion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CA4571" w:rsidRDefault="00F212E2" w:rsidP="00580987">
      <w:pPr>
        <w:jc w:val="both"/>
      </w:pPr>
      <w:r>
        <w:t>Many feel that Critical Thinking can</w:t>
      </w:r>
      <w:r w:rsidR="00C619A4">
        <w:t xml:space="preserve"> be</w:t>
      </w:r>
      <w:r>
        <w:t xml:space="preserve"> </w:t>
      </w:r>
      <w:r w:rsidRPr="00526F7B">
        <w:t>taught</w:t>
      </w:r>
      <w:r>
        <w:t>, but some are skeptical. (Willingham, 200</w:t>
      </w:r>
      <w:r w:rsidR="00C45C09">
        <w:t>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Critical Thinking is approached: 1) training a rubric to be followed, 2) forming the process by the Socratic Method, and </w:t>
      </w:r>
      <w:r w:rsidR="00D15856">
        <w:t xml:space="preserve">3) </w:t>
      </w:r>
      <w:r w:rsidR="006C46CB">
        <w:t>using</w:t>
      </w:r>
      <w:r w:rsidR="00CA4571">
        <w:t xml:space="preserve"> constructivist methods emphasizing self-discovery. Many authors report using combinations of these three approaches. This paper does not have the space to resolve the varying benefits of the differing approaches, </w:t>
      </w:r>
      <w:r w:rsidR="00D15856">
        <w:t>(</w:t>
      </w:r>
      <w:proofErr w:type="spellStart"/>
      <w:r w:rsidR="00D15856">
        <w:t>Pither</w:t>
      </w:r>
      <w:proofErr w:type="spellEnd"/>
      <w:r w:rsidR="00D15856">
        <w:t xml:space="preserve"> &amp; </w:t>
      </w:r>
      <w:proofErr w:type="spellStart"/>
      <w:r w:rsidR="00D15856">
        <w:t>Soden</w:t>
      </w:r>
      <w:proofErr w:type="spellEnd"/>
      <w:r w:rsidR="00D15856">
        <w:t xml:space="preserve">,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 xml:space="preserve">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CF4E8F" w:rsidRDefault="00580987" w:rsidP="00580987">
      <w:pPr>
        <w:jc w:val="both"/>
      </w:pPr>
      <w:r w:rsidRPr="00526F7B">
        <w:t xml:space="preserve">There are literally volumes that have been written on the plethora of approaches to defining, enumerating, and teaching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lastRenderedPageBreak/>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 xml:space="preserve">Teaching the Critical Thinking processes to students had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4B13E5"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4B13E5" w:rsidRPr="00945EBA">
                    <w:rPr>
                      <w:color w:val="auto"/>
                    </w:rPr>
                    <w:fldChar w:fldCharType="begin"/>
                  </w:r>
                  <w:r w:rsidRPr="00945EBA">
                    <w:rPr>
                      <w:color w:val="auto"/>
                    </w:rPr>
                    <w:instrText xml:space="preserve"> SEQ Figure \* ARABIC </w:instrText>
                  </w:r>
                  <w:r w:rsidR="004B13E5" w:rsidRPr="00945EBA">
                    <w:rPr>
                      <w:color w:val="auto"/>
                    </w:rPr>
                    <w:fldChar w:fldCharType="separate"/>
                  </w:r>
                  <w:r w:rsidR="00932760">
                    <w:rPr>
                      <w:noProof/>
                      <w:color w:val="auto"/>
                    </w:rPr>
                    <w:t>1</w:t>
                  </w:r>
                  <w:r w:rsidR="004B13E5"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4B13E5" w:rsidRPr="00945EBA">
                    <w:rPr>
                      <w:color w:val="auto"/>
                    </w:rPr>
                    <w:fldChar w:fldCharType="begin"/>
                  </w:r>
                  <w:r w:rsidRPr="00945EBA">
                    <w:rPr>
                      <w:color w:val="auto"/>
                    </w:rPr>
                    <w:instrText xml:space="preserve"> SEQ Figure \* ARABIC </w:instrText>
                  </w:r>
                  <w:r w:rsidR="004B13E5" w:rsidRPr="00945EBA">
                    <w:rPr>
                      <w:color w:val="auto"/>
                    </w:rPr>
                    <w:fldChar w:fldCharType="separate"/>
                  </w:r>
                  <w:r w:rsidR="00932760">
                    <w:rPr>
                      <w:noProof/>
                      <w:color w:val="auto"/>
                    </w:rPr>
                    <w:t>2</w:t>
                  </w:r>
                  <w:r w:rsidR="004B13E5" w:rsidRPr="00945EBA">
                    <w:rPr>
                      <w:color w:val="auto"/>
                    </w:rPr>
                    <w:fldChar w:fldCharType="end"/>
                  </w:r>
                  <w:r w:rsidRPr="00945EBA">
                    <w:rPr>
                      <w:color w:val="auto"/>
                    </w:rPr>
                    <w:t xml:space="preserve"> - Video-taped Pinchas Gutter</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4B13E5" w:rsidRPr="00945EBA">
                    <w:rPr>
                      <w:color w:val="auto"/>
                    </w:rPr>
                    <w:fldChar w:fldCharType="begin"/>
                  </w:r>
                  <w:r w:rsidRPr="00945EBA">
                    <w:rPr>
                      <w:color w:val="auto"/>
                    </w:rPr>
                    <w:instrText xml:space="preserve"> SEQ Figure \* ARABIC </w:instrText>
                  </w:r>
                  <w:r w:rsidR="004B13E5" w:rsidRPr="00945EBA">
                    <w:rPr>
                      <w:color w:val="auto"/>
                    </w:rPr>
                    <w:fldChar w:fldCharType="separate"/>
                  </w:r>
                  <w:r w:rsidR="00932760">
                    <w:rPr>
                      <w:noProof/>
                      <w:color w:val="auto"/>
                    </w:rPr>
                    <w:t>3</w:t>
                  </w:r>
                  <w:r w:rsidR="004B13E5"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w:t>
      </w:r>
      <w:r w:rsidRPr="00526F7B">
        <w:lastRenderedPageBreak/>
        <w:t xml:space="preserve">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 xml:space="preserve">esigned to advance analysis and evaluation for the Joint Experimentation, its training function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5B6B1A">
      <w:pPr>
        <w:pStyle w:val="Caption"/>
        <w:jc w:val="center"/>
        <w:rPr>
          <w:color w:val="000000" w:themeColor="text1"/>
        </w:rPr>
      </w:pPr>
      <w:r w:rsidRPr="00526F7B">
        <w:rPr>
          <w:color w:val="000000" w:themeColor="text1"/>
        </w:rPr>
        <w:t xml:space="preserve">Figure </w:t>
      </w:r>
      <w:r w:rsidR="004B13E5" w:rsidRPr="00526F7B">
        <w:rPr>
          <w:color w:val="000000" w:themeColor="text1"/>
        </w:rPr>
        <w:fldChar w:fldCharType="begin"/>
      </w:r>
      <w:r w:rsidRPr="00526F7B">
        <w:rPr>
          <w:color w:val="000000" w:themeColor="text1"/>
        </w:rPr>
        <w:instrText xml:space="preserve"> SEQ Figure \* ARABIC </w:instrText>
      </w:r>
      <w:r w:rsidR="004B13E5" w:rsidRPr="00526F7B">
        <w:rPr>
          <w:color w:val="000000" w:themeColor="text1"/>
        </w:rPr>
        <w:fldChar w:fldCharType="separate"/>
      </w:r>
      <w:r w:rsidR="00932760">
        <w:rPr>
          <w:noProof/>
          <w:color w:val="000000" w:themeColor="text1"/>
        </w:rPr>
        <w:t>4</w:t>
      </w:r>
      <w:r w:rsidR="004B13E5" w:rsidRPr="00526F7B">
        <w:rPr>
          <w:color w:val="000000" w:themeColor="text1"/>
        </w:rPr>
        <w:fldChar w:fldCharType="end"/>
      </w:r>
      <w:r w:rsidRPr="00526F7B">
        <w:rPr>
          <w:color w:val="000000" w:themeColor="text1"/>
        </w:rPr>
        <w:t xml:space="preserve"> - USC-enabled Trans-continental Network Testbed</w:t>
      </w:r>
    </w:p>
    <w:p w:rsidR="00580987" w:rsidRPr="00526F7B" w:rsidRDefault="00580987" w:rsidP="00580987">
      <w:pPr>
        <w:jc w:val="both"/>
      </w:pPr>
      <w:r w:rsidRPr="00526F7B">
        <w:lastRenderedPageBreak/>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E1527C" w:rsidP="00580987">
      <w:pPr>
        <w:jc w:val="both"/>
      </w:pPr>
      <w:r>
        <w:rPr>
          <w:noProof/>
        </w:rPr>
        <w:drawing>
          <wp:anchor distT="0" distB="0" distL="114300" distR="114300" simplePos="0" relativeHeight="251665408" behindDoc="0" locked="0" layoutInCell="1" allowOverlap="1">
            <wp:simplePos x="0" y="0"/>
            <wp:positionH relativeFrom="column">
              <wp:posOffset>3237230</wp:posOffset>
            </wp:positionH>
            <wp:positionV relativeFrom="paragraph">
              <wp:posOffset>109220</wp:posOffset>
            </wp:positionV>
            <wp:extent cx="2806700" cy="197675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2806700" cy="1976755"/>
                    </a:xfrm>
                    <a:prstGeom prst="rect">
                      <a:avLst/>
                    </a:prstGeom>
                    <a:noFill/>
                  </pic:spPr>
                </pic:pic>
              </a:graphicData>
            </a:graphic>
          </wp:anchor>
        </w:drawing>
      </w:r>
    </w:p>
    <w:p w:rsidR="00580987" w:rsidRDefault="00E1527C" w:rsidP="00580987">
      <w:pPr>
        <w:jc w:val="both"/>
      </w:pPr>
      <w:r>
        <w:rPr>
          <w:noProof/>
        </w:rPr>
        <w:pict>
          <v:shape id="_x0000_s1031" type="#_x0000_t202" style="position:absolute;left:0;text-align:left;margin-left:246.9pt;margin-top:156.15pt;width:237.05pt;height:11.95pt;z-index:251667456" stroked="f">
            <v:textbox inset="0,0,0,0">
              <w:txbxContent>
                <w:p w:rsidR="00866FC2" w:rsidRPr="00E1527C" w:rsidRDefault="00866FC2" w:rsidP="00866FC2">
                  <w:pPr>
                    <w:pStyle w:val="Caption"/>
                    <w:jc w:val="center"/>
                    <w:rPr>
                      <w:noProof/>
                      <w:color w:val="auto"/>
                      <w:sz w:val="20"/>
                      <w:szCs w:val="20"/>
                    </w:rPr>
                  </w:pPr>
                  <w:r w:rsidRPr="00E1527C">
                    <w:rPr>
                      <w:color w:val="auto"/>
                    </w:rPr>
                    <w:t xml:space="preserve">Figure </w:t>
                  </w:r>
                  <w:r w:rsidR="004B13E5" w:rsidRPr="00E1527C">
                    <w:rPr>
                      <w:color w:val="auto"/>
                    </w:rPr>
                    <w:fldChar w:fldCharType="begin"/>
                  </w:r>
                  <w:r w:rsidR="004B13E5" w:rsidRPr="00E1527C">
                    <w:rPr>
                      <w:color w:val="auto"/>
                    </w:rPr>
                    <w:instrText xml:space="preserve"> SEQ Figure \* ARABIC </w:instrText>
                  </w:r>
                  <w:r w:rsidR="004B13E5" w:rsidRPr="00E1527C">
                    <w:rPr>
                      <w:color w:val="auto"/>
                    </w:rPr>
                    <w:fldChar w:fldCharType="separate"/>
                  </w:r>
                  <w:r w:rsidR="00932760" w:rsidRPr="00E1527C">
                    <w:rPr>
                      <w:noProof/>
                      <w:color w:val="auto"/>
                    </w:rPr>
                    <w:t>5</w:t>
                  </w:r>
                  <w:r w:rsidR="004B13E5" w:rsidRPr="00E1527C">
                    <w:rPr>
                      <w:color w:val="auto"/>
                    </w:rPr>
                    <w:fldChar w:fldCharType="end"/>
                  </w:r>
                  <w:r w:rsidRPr="00E1527C">
                    <w:rPr>
                      <w:color w:val="auto"/>
                    </w:rPr>
                    <w:t xml:space="preserve"> -A Present Day Setting in Indonesia using JSAF</w:t>
                  </w:r>
                </w:p>
                <w:p w:rsidR="00E1527C" w:rsidRDefault="00E1527C"/>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00866FC2" w:rsidRPr="00526F7B">
        <w:t>hat is the most enticing</w:t>
      </w:r>
      <w:r>
        <w:t>. Figure 5 shows a contemporary scene</w:t>
      </w:r>
      <w:r w:rsidR="00580987" w:rsidRPr="00526F7B">
        <w:t xml:space="preserve">.  The impact of America’s Army on training was generated by the original entertainment value of the program, which had been </w:t>
      </w:r>
      <w:r w:rsidR="00580987" w:rsidRPr="00526F7B">
        <w:lastRenderedPageBreak/>
        <w:t xml:space="preserve">developed as a recruiting tool, not a training program. Having a set of problems from different time periods could go a long way to </w:t>
      </w:r>
      <w:r w:rsidR="00866FC2" w:rsidRPr="00526F7B">
        <w:t>retain users</w:t>
      </w:r>
      <w:r w:rsidR="00580987" w:rsidRPr="00526F7B">
        <w:t xml:space="preserve">. The periods offered could be: classical, medieval, Napoleonic, U.S. Civil War, the World Wars, Vietnam and </w:t>
      </w:r>
      <w:r w:rsidR="00866FC2" w:rsidRPr="00526F7B">
        <w:t>today</w:t>
      </w:r>
      <w:r w:rsidR="00580987" w:rsidRPr="00526F7B">
        <w:t xml:space="preserve">. These would </w:t>
      </w:r>
      <w:r w:rsidR="00866FC2" w:rsidRPr="00526F7B">
        <w:t>offer</w:t>
      </w:r>
      <w:r w:rsidR="00580987" w:rsidRPr="00526F7B">
        <w:t xml:space="preserve"> attractive alternatives to personnel with diffe</w:t>
      </w:r>
      <w:r w:rsidR="008D4E4A" w:rsidRPr="00526F7B">
        <w:t>ring personal enthusiasms</w:t>
      </w:r>
      <w:r w:rsidR="00866FC2" w:rsidRPr="00526F7B">
        <w:t xml:space="preserve"> including a “Present Day”</w:t>
      </w:r>
      <w:r w:rsidR="00526F7B">
        <w:t xml:space="preserve"> or future</w:t>
      </w:r>
      <w:r w:rsidR="00866FC2"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w:t>
      </w:r>
      <w:r w:rsidRPr="00526F7B">
        <w:lastRenderedPageBreak/>
        <w:t xml:space="preserve">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4B13E5" w:rsidRPr="00526F7B">
        <w:rPr>
          <w:color w:val="auto"/>
        </w:rPr>
        <w:fldChar w:fldCharType="begin"/>
      </w:r>
      <w:r w:rsidRPr="00526F7B">
        <w:rPr>
          <w:color w:val="auto"/>
        </w:rPr>
        <w:instrText xml:space="preserve"> SEQ Table \* ARABIC </w:instrText>
      </w:r>
      <w:r w:rsidR="004B13E5" w:rsidRPr="00526F7B">
        <w:rPr>
          <w:color w:val="auto"/>
        </w:rPr>
        <w:fldChar w:fldCharType="separate"/>
      </w:r>
      <w:r w:rsidR="00932760">
        <w:rPr>
          <w:noProof/>
          <w:color w:val="auto"/>
        </w:rPr>
        <w:t>1</w:t>
      </w:r>
      <w:r w:rsidR="004B13E5"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w:t>
      </w:r>
      <w:r w:rsidRPr="00526F7B">
        <w:lastRenderedPageBreak/>
        <w:t>(Kudryavtsev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spellStart"/>
      <w:proofErr w:type="gramStart"/>
      <w:r w:rsidRPr="00D15856">
        <w:rPr>
          <w:rFonts w:ascii="Times New Roman" w:hAnsi="Times New Roman" w:cs="Times New Roman"/>
        </w:rPr>
        <w:t>Pithers</w:t>
      </w:r>
      <w:proofErr w:type="spellEnd"/>
      <w:r w:rsidRPr="00D15856">
        <w:rPr>
          <w:rFonts w:ascii="Times New Roman" w:hAnsi="Times New Roman" w:cs="Times New Roman"/>
        </w:rPr>
        <w:t>, R. T.</w:t>
      </w:r>
      <w:r>
        <w:rPr>
          <w:rFonts w:ascii="Times New Roman" w:hAnsi="Times New Roman" w:cs="Times New Roman"/>
        </w:rPr>
        <w:t xml:space="preserve">, &amp; </w:t>
      </w:r>
      <w:proofErr w:type="spellStart"/>
      <w:r>
        <w:rPr>
          <w:rFonts w:ascii="Times New Roman" w:hAnsi="Times New Roman" w:cs="Times New Roman"/>
        </w:rPr>
        <w:t>Soden</w:t>
      </w:r>
      <w:proofErr w:type="spellEnd"/>
      <w:r>
        <w:rPr>
          <w:rFonts w:ascii="Times New Roman" w:hAnsi="Times New Roman" w:cs="Times New Roman"/>
        </w:rPr>
        <w:t>, R. (2000).</w:t>
      </w:r>
      <w:proofErr w:type="gramEnd"/>
      <w:r>
        <w:rPr>
          <w:rFonts w:ascii="Times New Roman" w:hAnsi="Times New Roman" w:cs="Times New Roman"/>
        </w:rPr>
        <w:t xml:space="preserve">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Pr>
          <w:rFonts w:ascii="Times New Roman" w:hAnsi="Times New Roman" w:cs="Times New Roman"/>
        </w:rPr>
        <w:t>Critical T</w:t>
      </w:r>
      <w:r w:rsidRPr="00C45C09">
        <w:rPr>
          <w:rFonts w:ascii="Times New Roman" w:hAnsi="Times New Roman" w:cs="Times New Roman"/>
        </w:rPr>
        <w:t>hinking.</w:t>
      </w:r>
      <w:proofErr w:type="gramEnd"/>
      <w:r w:rsidRPr="00C45C09">
        <w:rPr>
          <w:rFonts w:ascii="Times New Roman" w:hAnsi="Times New Roman" w:cs="Times New Roman"/>
        </w:rPr>
        <w:t xml:space="preserve">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C8B" w:rsidRDefault="00540C8B">
      <w:r>
        <w:separator/>
      </w:r>
    </w:p>
  </w:endnote>
  <w:endnote w:type="continuationSeparator" w:id="0">
    <w:p w:rsidR="00540C8B" w:rsidRDefault="00540C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4B13E5">
      <w:rPr>
        <w:i/>
        <w:snapToGrid w:val="0"/>
        <w:sz w:val="18"/>
        <w:szCs w:val="18"/>
      </w:rPr>
      <w:fldChar w:fldCharType="begin"/>
    </w:r>
    <w:r>
      <w:rPr>
        <w:i/>
        <w:snapToGrid w:val="0"/>
        <w:sz w:val="18"/>
        <w:szCs w:val="18"/>
      </w:rPr>
      <w:instrText xml:space="preserve"> PAGE </w:instrText>
    </w:r>
    <w:r w:rsidR="004B13E5">
      <w:rPr>
        <w:i/>
        <w:snapToGrid w:val="0"/>
        <w:sz w:val="18"/>
        <w:szCs w:val="18"/>
      </w:rPr>
      <w:fldChar w:fldCharType="separate"/>
    </w:r>
    <w:r w:rsidR="00E1527C">
      <w:rPr>
        <w:i/>
        <w:noProof/>
        <w:snapToGrid w:val="0"/>
        <w:sz w:val="18"/>
        <w:szCs w:val="18"/>
      </w:rPr>
      <w:t>2</w:t>
    </w:r>
    <w:r w:rsidR="004B13E5">
      <w:rPr>
        <w:i/>
        <w:snapToGrid w:val="0"/>
        <w:sz w:val="18"/>
        <w:szCs w:val="18"/>
      </w:rPr>
      <w:fldChar w:fldCharType="end"/>
    </w:r>
    <w:r>
      <w:rPr>
        <w:i/>
        <w:snapToGrid w:val="0"/>
        <w:sz w:val="18"/>
        <w:szCs w:val="18"/>
      </w:rPr>
      <w:t xml:space="preserve"> of </w:t>
    </w:r>
    <w:r w:rsidR="004B13E5">
      <w:rPr>
        <w:i/>
        <w:snapToGrid w:val="0"/>
        <w:sz w:val="18"/>
        <w:szCs w:val="18"/>
      </w:rPr>
      <w:fldChar w:fldCharType="begin"/>
    </w:r>
    <w:r>
      <w:rPr>
        <w:i/>
        <w:snapToGrid w:val="0"/>
        <w:sz w:val="18"/>
        <w:szCs w:val="18"/>
      </w:rPr>
      <w:instrText xml:space="preserve"> NUMPAGES </w:instrText>
    </w:r>
    <w:r w:rsidR="004B13E5">
      <w:rPr>
        <w:i/>
        <w:snapToGrid w:val="0"/>
        <w:sz w:val="18"/>
        <w:szCs w:val="18"/>
      </w:rPr>
      <w:fldChar w:fldCharType="separate"/>
    </w:r>
    <w:r w:rsidR="00E1527C">
      <w:rPr>
        <w:i/>
        <w:noProof/>
        <w:snapToGrid w:val="0"/>
        <w:sz w:val="18"/>
        <w:szCs w:val="18"/>
      </w:rPr>
      <w:t>14</w:t>
    </w:r>
    <w:r w:rsidR="004B13E5">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4B13E5">
      <w:rPr>
        <w:i/>
        <w:snapToGrid w:val="0"/>
        <w:sz w:val="18"/>
        <w:szCs w:val="18"/>
      </w:rPr>
      <w:fldChar w:fldCharType="begin"/>
    </w:r>
    <w:r w:rsidR="000A1DE4">
      <w:rPr>
        <w:i/>
        <w:snapToGrid w:val="0"/>
        <w:sz w:val="18"/>
        <w:szCs w:val="18"/>
      </w:rPr>
      <w:instrText xml:space="preserve"> PAGE </w:instrText>
    </w:r>
    <w:r w:rsidR="004B13E5">
      <w:rPr>
        <w:i/>
        <w:snapToGrid w:val="0"/>
        <w:sz w:val="18"/>
        <w:szCs w:val="18"/>
      </w:rPr>
      <w:fldChar w:fldCharType="separate"/>
    </w:r>
    <w:r w:rsidR="00E1527C">
      <w:rPr>
        <w:i/>
        <w:noProof/>
        <w:snapToGrid w:val="0"/>
        <w:sz w:val="18"/>
        <w:szCs w:val="18"/>
      </w:rPr>
      <w:t>9</w:t>
    </w:r>
    <w:r w:rsidR="004B13E5">
      <w:rPr>
        <w:i/>
        <w:snapToGrid w:val="0"/>
        <w:sz w:val="18"/>
        <w:szCs w:val="18"/>
      </w:rPr>
      <w:fldChar w:fldCharType="end"/>
    </w:r>
    <w:r w:rsidR="000A1DE4">
      <w:rPr>
        <w:i/>
        <w:snapToGrid w:val="0"/>
        <w:sz w:val="18"/>
        <w:szCs w:val="18"/>
      </w:rPr>
      <w:t xml:space="preserve"> of </w:t>
    </w:r>
    <w:r w:rsidR="004B13E5">
      <w:rPr>
        <w:i/>
        <w:snapToGrid w:val="0"/>
        <w:sz w:val="18"/>
        <w:szCs w:val="18"/>
      </w:rPr>
      <w:fldChar w:fldCharType="begin"/>
    </w:r>
    <w:r w:rsidR="000A1DE4">
      <w:rPr>
        <w:i/>
        <w:snapToGrid w:val="0"/>
        <w:sz w:val="18"/>
        <w:szCs w:val="18"/>
      </w:rPr>
      <w:instrText xml:space="preserve"> NUMPAGES </w:instrText>
    </w:r>
    <w:r w:rsidR="004B13E5">
      <w:rPr>
        <w:i/>
        <w:snapToGrid w:val="0"/>
        <w:sz w:val="18"/>
        <w:szCs w:val="18"/>
      </w:rPr>
      <w:fldChar w:fldCharType="separate"/>
    </w:r>
    <w:r w:rsidR="00E1527C">
      <w:rPr>
        <w:i/>
        <w:noProof/>
        <w:snapToGrid w:val="0"/>
        <w:sz w:val="18"/>
        <w:szCs w:val="18"/>
      </w:rPr>
      <w:t>14</w:t>
    </w:r>
    <w:r w:rsidR="004B13E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C8B" w:rsidRDefault="00540C8B">
      <w:r>
        <w:separator/>
      </w:r>
    </w:p>
  </w:footnote>
  <w:footnote w:type="continuationSeparator" w:id="0">
    <w:p w:rsidR="00540C8B" w:rsidRDefault="00540C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3730"/>
  </w:hdrShapeDefaults>
  <w:footnotePr>
    <w:footnote w:id="-1"/>
    <w:footnote w:id="0"/>
  </w:footnotePr>
  <w:endnotePr>
    <w:endnote w:id="-1"/>
    <w:endnote w:id="0"/>
  </w:endnotePr>
  <w:compat/>
  <w:rsids>
    <w:rsidRoot w:val="00960E20"/>
    <w:rsid w:val="00000E15"/>
    <w:rsid w:val="00007D0E"/>
    <w:rsid w:val="00012374"/>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0F45"/>
    <w:rsid w:val="002B3A93"/>
    <w:rsid w:val="002C398C"/>
    <w:rsid w:val="002D42D3"/>
    <w:rsid w:val="002E383E"/>
    <w:rsid w:val="002E70B7"/>
    <w:rsid w:val="00326A21"/>
    <w:rsid w:val="00341EFA"/>
    <w:rsid w:val="00341FDC"/>
    <w:rsid w:val="00344FA1"/>
    <w:rsid w:val="003572B1"/>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6289"/>
    <w:rsid w:val="00496623"/>
    <w:rsid w:val="004B13E5"/>
    <w:rsid w:val="004B794A"/>
    <w:rsid w:val="004C121F"/>
    <w:rsid w:val="004C3AC3"/>
    <w:rsid w:val="004D19AD"/>
    <w:rsid w:val="004D7C00"/>
    <w:rsid w:val="004E2016"/>
    <w:rsid w:val="004F0B48"/>
    <w:rsid w:val="004F5761"/>
    <w:rsid w:val="0051280E"/>
    <w:rsid w:val="00514745"/>
    <w:rsid w:val="00520735"/>
    <w:rsid w:val="00524817"/>
    <w:rsid w:val="00526F7B"/>
    <w:rsid w:val="005322A6"/>
    <w:rsid w:val="00533EBD"/>
    <w:rsid w:val="00534D91"/>
    <w:rsid w:val="00540C8B"/>
    <w:rsid w:val="005421A5"/>
    <w:rsid w:val="00546E68"/>
    <w:rsid w:val="00550480"/>
    <w:rsid w:val="00553B49"/>
    <w:rsid w:val="00560365"/>
    <w:rsid w:val="00573611"/>
    <w:rsid w:val="005743F5"/>
    <w:rsid w:val="00574692"/>
    <w:rsid w:val="0057548A"/>
    <w:rsid w:val="00576088"/>
    <w:rsid w:val="00580987"/>
    <w:rsid w:val="00580EB1"/>
    <w:rsid w:val="005823F3"/>
    <w:rsid w:val="005840E5"/>
    <w:rsid w:val="005A2964"/>
    <w:rsid w:val="005B5D2E"/>
    <w:rsid w:val="005B6B1A"/>
    <w:rsid w:val="005B71CA"/>
    <w:rsid w:val="005C3F0D"/>
    <w:rsid w:val="005D1B21"/>
    <w:rsid w:val="005D722B"/>
    <w:rsid w:val="005E4F99"/>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653E"/>
    <w:rsid w:val="007E2964"/>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F4744"/>
    <w:rsid w:val="00A354E0"/>
    <w:rsid w:val="00A4442B"/>
    <w:rsid w:val="00A50643"/>
    <w:rsid w:val="00A54CD5"/>
    <w:rsid w:val="00A57CF2"/>
    <w:rsid w:val="00A62146"/>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624F2"/>
    <w:rsid w:val="00B70367"/>
    <w:rsid w:val="00B81A59"/>
    <w:rsid w:val="00B8600C"/>
    <w:rsid w:val="00B95E43"/>
    <w:rsid w:val="00BB00A3"/>
    <w:rsid w:val="00BB2066"/>
    <w:rsid w:val="00BC1CCF"/>
    <w:rsid w:val="00BC2595"/>
    <w:rsid w:val="00BE23B6"/>
    <w:rsid w:val="00BF38C4"/>
    <w:rsid w:val="00BF3ACB"/>
    <w:rsid w:val="00BF7443"/>
    <w:rsid w:val="00C10A0B"/>
    <w:rsid w:val="00C2083B"/>
    <w:rsid w:val="00C218BC"/>
    <w:rsid w:val="00C245B0"/>
    <w:rsid w:val="00C34006"/>
    <w:rsid w:val="00C3532D"/>
    <w:rsid w:val="00C45C09"/>
    <w:rsid w:val="00C475F0"/>
    <w:rsid w:val="00C51CA6"/>
    <w:rsid w:val="00C53339"/>
    <w:rsid w:val="00C54E27"/>
    <w:rsid w:val="00C619A4"/>
    <w:rsid w:val="00C81B0D"/>
    <w:rsid w:val="00C84EF5"/>
    <w:rsid w:val="00C9057B"/>
    <w:rsid w:val="00CA4571"/>
    <w:rsid w:val="00CA69E8"/>
    <w:rsid w:val="00CD01F7"/>
    <w:rsid w:val="00CD5128"/>
    <w:rsid w:val="00CE614A"/>
    <w:rsid w:val="00CE634C"/>
    <w:rsid w:val="00CF4E8F"/>
    <w:rsid w:val="00CF6760"/>
    <w:rsid w:val="00D02740"/>
    <w:rsid w:val="00D079ED"/>
    <w:rsid w:val="00D15856"/>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E7B9D"/>
    <w:rsid w:val="00DF124F"/>
    <w:rsid w:val="00E073C8"/>
    <w:rsid w:val="00E125AC"/>
    <w:rsid w:val="00E129F4"/>
    <w:rsid w:val="00E1527C"/>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12E2"/>
    <w:rsid w:val="00F22FD6"/>
    <w:rsid w:val="00F40242"/>
    <w:rsid w:val="00F438C6"/>
    <w:rsid w:val="00F44B0C"/>
    <w:rsid w:val="00F51A55"/>
    <w:rsid w:val="00F52D45"/>
    <w:rsid w:val="00F6583D"/>
    <w:rsid w:val="00F71E73"/>
    <w:rsid w:val="00FB7893"/>
    <w:rsid w:val="00FD111C"/>
    <w:rsid w:val="00FD6486"/>
    <w:rsid w:val="00FD7C71"/>
    <w:rsid w:val="00FE0628"/>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8A7B9F9-9173-4CAE-B16E-81AB7E04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5</TotalTime>
  <Pages>14</Pages>
  <Words>8360</Words>
  <Characters>47654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55903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2017-05-03T21:20:00Z</cp:lastPrinted>
  <dcterms:created xsi:type="dcterms:W3CDTF">2017-05-04T14:46:00Z</dcterms:created>
  <dcterms:modified xsi:type="dcterms:W3CDTF">2017-05-04T15:21:00Z</dcterms:modified>
</cp:coreProperties>
</file>