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pe</w:t>
      </w:r>
      <w:r w:rsidRPr="00C5408A">
        <w:rPr>
          <w:iCs/>
        </w:rPr>
        <w:t>r</w:t>
      </w:r>
      <w:r w:rsidRPr="00C5408A">
        <w:rPr>
          <w:iCs/>
        </w:rPr>
        <w:t>sonnel who are needed to provide responses or to give advice. One method that has demonstrable capability and has found utility is the use of conversational, computer-directed avatars which can respond smoothly to a carefully fas</w:t>
      </w:r>
      <w:r w:rsidRPr="00C5408A">
        <w:rPr>
          <w:iCs/>
        </w:rPr>
        <w:t>h</w:t>
      </w:r>
      <w:r w:rsidRPr="00C5408A">
        <w:rPr>
          <w:iCs/>
        </w:rPr>
        <w:t>ioned list of germane questions. These avatars can be either animated or live (via a large number of video clips). Early research and development has focused on “hand crafting” question lists, paraphrases, recording scripts, utte</w:t>
      </w:r>
      <w:r w:rsidRPr="00C5408A">
        <w:rPr>
          <w:iCs/>
        </w:rPr>
        <w:t>r</w:t>
      </w:r>
      <w:r w:rsidRPr="00C5408A">
        <w:rPr>
          <w:iCs/>
        </w:rPr>
        <w:t>ances, transcriptions, video editing, validation, testing, and updating. The administrative burden of all of this has begun to overshadow the scientific and technical research effort. As this virtual human capability moves into a</w:t>
      </w:r>
      <w:r w:rsidRPr="00C5408A">
        <w:rPr>
          <w:iCs/>
        </w:rPr>
        <w:t>c</w:t>
      </w:r>
      <w:r w:rsidRPr="00C5408A">
        <w:rPr>
          <w:iCs/>
        </w:rPr>
        <w:t>ceptance and common implementation, the skills of system engineering are seen as facilitators for optimizing the production process. This paper addresses early experience with subjecting an on-going project to system engineering analyses in order to make the adoption of these avatars more practical and economical. The authors discuss the use of the V-Model and other system engineering tools in a way that should enable other researchers to understand what can be expected of such an approach to computer-generated virtual humans. These management tools and tec</w:t>
      </w:r>
      <w:r w:rsidRPr="00C5408A">
        <w:rPr>
          <w:iCs/>
        </w:rPr>
        <w:t>h</w:t>
      </w:r>
      <w:r w:rsidRPr="00C5408A">
        <w:rPr>
          <w:iCs/>
        </w:rPr>
        <w:t xml:space="preserve">niques provide a real opportunity to make manifest in the </w:t>
      </w:r>
      <w:proofErr w:type="gramStart"/>
      <w:r w:rsidRPr="00C5408A">
        <w:rPr>
          <w:iCs/>
        </w:rPr>
        <w:t>DoD</w:t>
      </w:r>
      <w:proofErr w:type="gramEnd"/>
      <w:r w:rsidRPr="00C5408A">
        <w:rPr>
          <w:iCs/>
        </w:rPr>
        <w:t xml:space="preserve"> the early successes demonstrated in research settings. Optimizing just the transcription phase would save significant amounts of implementation time. The paper then lays out both early results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Mentor PAL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FC789D" w:rsidRDefault="00FC789D">
      <w:r>
        <w:br w:type="page"/>
      </w:r>
    </w:p>
    <w:p w:rsidR="005152B1" w:rsidRPr="00526F7B" w:rsidRDefault="005152B1" w:rsidP="005152B1">
      <w:pPr>
        <w:jc w:val="center"/>
        <w:rPr>
          <w:b/>
          <w:sz w:val="28"/>
        </w:rPr>
      </w:pPr>
      <w:r>
        <w:rPr>
          <w:b/>
          <w:sz w:val="28"/>
        </w:rPr>
        <w:lastRenderedPageBreak/>
        <w:t>System Engineering</w:t>
      </w:r>
      <w:r w:rsidRPr="00526F7B">
        <w:rPr>
          <w:b/>
          <w:sz w:val="28"/>
        </w:rPr>
        <w:t xml:space="preserve">: </w:t>
      </w:r>
      <w:r w:rsidRPr="00526F7B">
        <w:rPr>
          <w:b/>
          <w:sz w:val="28"/>
        </w:rPr>
        <w:br/>
      </w:r>
      <w:r>
        <w:rPr>
          <w:b/>
          <w:sz w:val="28"/>
        </w:rPr>
        <w:t xml:space="preserve">Optimizing Creation of Conversational Virtual Human Avatars </w:t>
      </w:r>
    </w:p>
    <w:p w:rsidR="005152B1" w:rsidRPr="00526F7B" w:rsidRDefault="005152B1" w:rsidP="005152B1">
      <w:pPr>
        <w:pStyle w:val="Heading1"/>
      </w:pP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7720F0">
        <w:trPr>
          <w:trHeight w:hRule="exact" w:val="273"/>
          <w:jc w:val="center"/>
        </w:trPr>
        <w:tc>
          <w:tcPr>
            <w:tcW w:w="3542" w:type="dxa"/>
          </w:tcPr>
          <w:p w:rsidR="005152B1" w:rsidRPr="00F05952" w:rsidRDefault="005152B1" w:rsidP="007720F0">
            <w:pPr>
              <w:jc w:val="center"/>
              <w:rPr>
                <w:b/>
              </w:rPr>
            </w:pPr>
            <w:r>
              <w:rPr>
                <w:b/>
              </w:rPr>
              <w:t>Daniel P. Burns</w:t>
            </w:r>
          </w:p>
        </w:tc>
        <w:tc>
          <w:tcPr>
            <w:tcW w:w="4311" w:type="dxa"/>
          </w:tcPr>
          <w:p w:rsidR="005152B1" w:rsidRPr="00F05952" w:rsidRDefault="005152B1" w:rsidP="007720F0">
            <w:pPr>
              <w:jc w:val="center"/>
              <w:rPr>
                <w:b/>
              </w:rPr>
            </w:pPr>
            <w:r w:rsidRPr="00F05952">
              <w:rPr>
                <w:b/>
              </w:rPr>
              <w:t>Dan M. Davis</w:t>
            </w:r>
            <w:r>
              <w:rPr>
                <w:b/>
              </w:rPr>
              <w:t xml:space="preserve"> &amp; Julianne Nordhagen</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Home Ports Solutions</w:t>
            </w:r>
          </w:p>
        </w:tc>
        <w:tc>
          <w:tcPr>
            <w:tcW w:w="4311" w:type="dxa"/>
          </w:tcPr>
          <w:p w:rsidR="005152B1" w:rsidRPr="00F05952" w:rsidRDefault="005152B1" w:rsidP="007720F0">
            <w:pPr>
              <w:jc w:val="center"/>
              <w:rPr>
                <w:b/>
              </w:rPr>
            </w:pPr>
            <w:r>
              <w:rPr>
                <w:b/>
              </w:rPr>
              <w:t>University of Southern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Los Angeles, California</w:t>
            </w:r>
          </w:p>
        </w:tc>
        <w:tc>
          <w:tcPr>
            <w:tcW w:w="4311" w:type="dxa"/>
          </w:tcPr>
          <w:p w:rsidR="005152B1" w:rsidRPr="00F05952" w:rsidRDefault="005152B1" w:rsidP="007720F0">
            <w:pPr>
              <w:jc w:val="center"/>
              <w:rPr>
                <w:b/>
              </w:rPr>
            </w:pPr>
            <w:r>
              <w:rPr>
                <w:b/>
              </w:rPr>
              <w:t>Los Angeles</w:t>
            </w:r>
            <w:r w:rsidRPr="00F05952">
              <w:rPr>
                <w:b/>
              </w:rPr>
              <w:t>,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sidRPr="00F01C00">
              <w:rPr>
                <w:b/>
              </w:rPr>
              <w:t>daniel.p.burns@homeportsolutions.net</w:t>
            </w:r>
          </w:p>
        </w:tc>
        <w:tc>
          <w:tcPr>
            <w:tcW w:w="4311" w:type="dxa"/>
          </w:tcPr>
          <w:p w:rsidR="005152B1" w:rsidRPr="00F05952" w:rsidRDefault="005152B1" w:rsidP="007720F0">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851034" w:rsidRDefault="00851034"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 System Engineering (SE) techniques, tools and approaches to enhance the conduct of simulation research, specifically Virtual Human implementation.  It presents both an ove</w:t>
      </w:r>
      <w:r>
        <w:t>r</w:t>
      </w:r>
      <w:r>
        <w:t>view of SE disciplines</w:t>
      </w:r>
      <w:r w:rsidR="00BA1528">
        <w:t xml:space="preserve"> and examples of how these have been employed in a program at the Institute for Creative Technologies (ICT) of the University of Southern California which is charged with creating a Virtual Human (VH) mentor</w:t>
      </w:r>
      <w:r w:rsidR="000905FD">
        <w:t xml:space="preserve"> series</w:t>
      </w:r>
      <w:r w:rsidR="00BA1528">
        <w:t>.</w:t>
      </w:r>
      <w:r w:rsidR="000905FD">
        <w:t xml:space="preserve"> There are two major objectives: analyzing the utility of SE and providing sufficient direction to </w:t>
      </w:r>
      <w:r w:rsidR="000D660B">
        <w:t>en</w:t>
      </w:r>
      <w:r w:rsidR="000D660B">
        <w:t>a</w:t>
      </w:r>
      <w:r w:rsidR="000D660B">
        <w:t>ble others to see how to apply similar approaches to their own research projects.  There will be sufficient examples and data presented to show application techniques and indicate results that can be anticipated.</w:t>
      </w:r>
    </w:p>
    <w:p w:rsidR="000D660B" w:rsidRDefault="000D660B" w:rsidP="000905FD">
      <w:pPr>
        <w:jc w:val="both"/>
      </w:pPr>
    </w:p>
    <w:p w:rsidR="00001B2B" w:rsidRDefault="000D660B" w:rsidP="000905FD">
      <w:pPr>
        <w:jc w:val="both"/>
      </w:pPr>
      <w:r>
        <w:t xml:space="preserve">The paper is organized in four parts.  The first will be a background discussion of the advances made </w:t>
      </w:r>
      <w:r w:rsidR="00001B2B">
        <w:t>in the capabil</w:t>
      </w:r>
      <w:r w:rsidR="00001B2B">
        <w:t>i</w:t>
      </w:r>
      <w:r w:rsidR="00001B2B">
        <w:t xml:space="preserve">ties of VH technologies over the last few decades.  The second section will cover the Mentor PAL project at ICT, setting forth the project’s goals, implementation plans, early experiences, and current results.  The third section will present a brief survey of System Engineers, focusing on areas where it will intersect with VH and other simulation initiatives. The fourth section will focus on analysis of the efforts to use SE for optimization in this environment and a discussion as to future implementation opportunities and efforts. </w:t>
      </w:r>
    </w:p>
    <w:p w:rsidR="00001B2B" w:rsidRDefault="00001B2B" w:rsidP="000905FD">
      <w:pPr>
        <w:jc w:val="both"/>
      </w:pPr>
    </w:p>
    <w:p w:rsidR="00001B2B" w:rsidRDefault="00001B2B" w:rsidP="00001B2B">
      <w:pPr>
        <w:pStyle w:val="Heading1"/>
      </w:pPr>
      <w:r>
        <w:t>Background</w:t>
      </w:r>
    </w:p>
    <w:p w:rsidR="00001B2B" w:rsidRDefault="00001B2B" w:rsidP="000905FD">
      <w:pPr>
        <w:jc w:val="both"/>
      </w:pPr>
    </w:p>
    <w:p w:rsidR="00CD0FC2" w:rsidRDefault="00CD0FC2" w:rsidP="00CD0FC2">
      <w:pPr>
        <w:pStyle w:val="Heading2"/>
      </w:pPr>
      <w:r>
        <w:t>Virtual Humans in the Defense Environment</w:t>
      </w:r>
    </w:p>
    <w:p w:rsidR="00CD0FC2" w:rsidRDefault="00CD0FC2" w:rsidP="00CD0FC2">
      <w:pPr>
        <w:jc w:val="both"/>
      </w:pPr>
    </w:p>
    <w:p w:rsidR="00CD0FC2" w:rsidRDefault="00CD0FC2" w:rsidP="00CD0FC2">
      <w:pPr>
        <w:jc w:val="both"/>
      </w:pPr>
      <w:r>
        <w:t>A virtual human is a virtual reality creation in which an avatar is created, often based on a real person, and attempts to recreate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 a specialization in virtual reality programming, the Institute for Cre</w:t>
      </w:r>
      <w:r>
        <w:t>a</w:t>
      </w:r>
      <w:r>
        <w:t xml:space="preserve">tive Technologies (ICT) is the home of myriad simulation projects, and it considers virtual reality to be its primary focus. Researchers at ICT have generated SimCoach, New Dimensions in Testimony (NDT), PAL3, </w:t>
      </w:r>
      <w:proofErr w:type="spellStart"/>
      <w:r>
        <w:t>MentorPAL</w:t>
      </w:r>
      <w:proofErr w:type="spellEnd"/>
      <w:r>
        <w:t>, and other generalized programs under learning sciences, medical VR, mixed reality, narrative storytelling, social stimulation, virtual humans, and vision and graphics. The breadth of knowledge available is significant and the use of these resources has allowed advances in the implementing of virtual humans.  The presentation to the user can take many forms, as shown in Figures 1-3 (All ICT Photos).</w:t>
      </w:r>
    </w:p>
    <w:p w:rsidR="00CD0FC2" w:rsidRDefault="00CD0FC2" w:rsidP="00CD0FC2">
      <w:pPr>
        <w:jc w:val="both"/>
      </w:pPr>
    </w:p>
    <w:p w:rsidR="00CD0FC2" w:rsidRDefault="00CD0FC2" w:rsidP="00CD0FC2">
      <w:pPr>
        <w:ind w:left="-450" w:right="-450"/>
      </w:pPr>
      <w:r>
        <w:lastRenderedPageBreak/>
        <w:t xml:space="preserve">     </w:t>
      </w:r>
      <w:r>
        <w:pict>
          <v:shapetype id="_x0000_t202" coordsize="21600,21600" o:spt="202" path="m,l,21600r21600,l21600,xe">
            <v:stroke joinstyle="miter"/>
            <v:path gradientshapeok="t" o:connecttype="rect"/>
          </v:shapetype>
          <v:shape id="_x0000_s1028" type="#_x0000_t202" style="width:157.4pt;height:152.15pt;mso-position-horizontal-relative:char;mso-position-vertical-relative:line;mso-width-relative:margin;mso-height-relative:margin" stroked="f">
            <v:textbox style="mso-next-textbox:#_x0000_s1028">
              <w:txbxContent>
                <w:p w:rsidR="00CD0FC2" w:rsidRDefault="00CD0FC2" w:rsidP="00CD0FC2">
                  <w:pPr>
                    <w:pStyle w:val="Caption"/>
                    <w:keepNext/>
                  </w:pPr>
                  <w:r w:rsidRPr="00D30BA0">
                    <w:rPr>
                      <w:noProof/>
                    </w:rPr>
                    <w:drawing>
                      <wp:inline distT="0" distB="0" distL="0" distR="0">
                        <wp:extent cx="1725602" cy="1391154"/>
                        <wp:effectExtent l="19050" t="0" r="7948"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725797" cy="1391312"/>
                                </a:xfrm>
                                <a:prstGeom prst="rect">
                                  <a:avLst/>
                                </a:prstGeom>
                              </pic:spPr>
                            </pic:pic>
                          </a:graphicData>
                        </a:graphic>
                      </wp:inline>
                    </w:drawing>
                  </w:r>
                </w:p>
                <w:p w:rsidR="00CD0FC2" w:rsidRPr="00B61338" w:rsidRDefault="00CD0FC2" w:rsidP="00CD0FC2">
                  <w:pPr>
                    <w:pStyle w:val="Caption"/>
                    <w:spacing w:after="0"/>
                    <w:ind w:left="86"/>
                    <w:jc w:val="center"/>
                    <w:rPr>
                      <w:color w:val="auto"/>
                    </w:rPr>
                  </w:pPr>
                  <w:r w:rsidRPr="00B61338">
                    <w:rPr>
                      <w:color w:val="auto"/>
                    </w:rPr>
                    <w:t xml:space="preserve">Figure </w:t>
                  </w:r>
                  <w:r w:rsidRPr="00B61338">
                    <w:rPr>
                      <w:color w:val="auto"/>
                    </w:rPr>
                    <w:fldChar w:fldCharType="begin"/>
                  </w:r>
                  <w:r w:rsidRPr="00B61338">
                    <w:rPr>
                      <w:color w:val="auto"/>
                    </w:rPr>
                    <w:instrText xml:space="preserve"> SEQ Figure \* ARABIC </w:instrText>
                  </w:r>
                  <w:r w:rsidRPr="00B61338">
                    <w:rPr>
                      <w:color w:val="auto"/>
                    </w:rPr>
                    <w:fldChar w:fldCharType="separate"/>
                  </w:r>
                  <w:r w:rsidR="00BF0701">
                    <w:rPr>
                      <w:noProof/>
                      <w:color w:val="auto"/>
                    </w:rPr>
                    <w:t>1</w:t>
                  </w:r>
                  <w:r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CD0FC2" w:rsidRDefault="00CD0FC2" w:rsidP="00CD0FC2">
                  <w:pPr>
                    <w:pStyle w:val="Caption"/>
                    <w:jc w:val="center"/>
                  </w:pPr>
                </w:p>
                <w:p w:rsidR="00CD0FC2" w:rsidRDefault="00CD0FC2" w:rsidP="00CD0FC2">
                  <w:pPr>
                    <w:pStyle w:val="Caption"/>
                    <w:jc w:val="center"/>
                  </w:pPr>
                  <w:r>
                    <w:rPr>
                      <w:color w:val="auto"/>
                    </w:rPr>
                    <w:t xml:space="preserve">  </w:t>
                  </w:r>
                </w:p>
                <w:p w:rsidR="00CD0FC2" w:rsidRDefault="00CD0FC2" w:rsidP="00CD0FC2"/>
              </w:txbxContent>
            </v:textbox>
            <w10:wrap type="none"/>
            <w10:anchorlock/>
          </v:shape>
        </w:pict>
      </w:r>
      <w:r>
        <w:t xml:space="preserve"> </w:t>
      </w:r>
      <w:r>
        <w:pict>
          <v:shape id="_x0000_s1027" type="#_x0000_t202" style="width:166.35pt;height:151.75pt;mso-position-horizontal-relative:char;mso-position-vertical-relative:line;mso-width-relative:margin;mso-height-relative:margin" stroked="f">
            <v:textbox style="mso-next-textbox:#_x0000_s1027">
              <w:txbxContent>
                <w:p w:rsidR="00CD0FC2" w:rsidRDefault="00CD0FC2" w:rsidP="00CD0FC2">
                  <w:pPr>
                    <w:pStyle w:val="Caption"/>
                    <w:keepNext/>
                    <w:jc w:val="center"/>
                  </w:pPr>
                  <w:r w:rsidRPr="00D30BA0">
                    <w:rPr>
                      <w:noProof/>
                    </w:rPr>
                    <w:drawing>
                      <wp:inline distT="0" distB="0" distL="0" distR="0">
                        <wp:extent cx="1715628" cy="1272470"/>
                        <wp:effectExtent l="57150" t="57150" r="56022" b="61030"/>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cstate="screen"/>
                                <a:srcRect/>
                                <a:stretch>
                                  <a:fillRect/>
                                </a:stretch>
                              </pic:blipFill>
                              <pic:spPr>
                                <a:xfrm>
                                  <a:off x="0" y="0"/>
                                  <a:ext cx="1717322" cy="1273726"/>
                                </a:xfrm>
                                <a:prstGeom prst="rect">
                                  <a:avLst/>
                                </a:prstGeom>
                                <a:ln w="63500">
                                  <a:solidFill>
                                    <a:schemeClr val="bg2">
                                      <a:lumMod val="50000"/>
                                    </a:schemeClr>
                                  </a:solidFill>
                                </a:ln>
                              </pic:spPr>
                            </pic:pic>
                          </a:graphicData>
                        </a:graphic>
                      </wp:inline>
                    </w:drawing>
                  </w:r>
                </w:p>
                <w:p w:rsidR="00CD0FC2" w:rsidRPr="00B61338" w:rsidRDefault="00CD0FC2" w:rsidP="00CD0FC2">
                  <w:pPr>
                    <w:pStyle w:val="Caption"/>
                    <w:jc w:val="center"/>
                    <w:rPr>
                      <w:color w:val="auto"/>
                    </w:rPr>
                  </w:pPr>
                  <w:r w:rsidRPr="00B61338">
                    <w:rPr>
                      <w:color w:val="auto"/>
                    </w:rPr>
                    <w:t xml:space="preserve">Figure </w:t>
                  </w:r>
                  <w:r w:rsidRPr="00B61338">
                    <w:rPr>
                      <w:color w:val="auto"/>
                    </w:rPr>
                    <w:fldChar w:fldCharType="begin"/>
                  </w:r>
                  <w:r w:rsidRPr="00B61338">
                    <w:rPr>
                      <w:color w:val="auto"/>
                    </w:rPr>
                    <w:instrText xml:space="preserve"> SEQ Figure \* ARABIC </w:instrText>
                  </w:r>
                  <w:r w:rsidRPr="00B61338">
                    <w:rPr>
                      <w:color w:val="auto"/>
                    </w:rPr>
                    <w:fldChar w:fldCharType="separate"/>
                  </w:r>
                  <w:r w:rsidR="00BF0701">
                    <w:rPr>
                      <w:noProof/>
                      <w:color w:val="auto"/>
                    </w:rPr>
                    <w:t>2</w:t>
                  </w:r>
                  <w:r w:rsidRPr="00B61338">
                    <w:rPr>
                      <w:color w:val="auto"/>
                    </w:rPr>
                    <w:fldChar w:fldCharType="end"/>
                  </w:r>
                  <w:r w:rsidRPr="00B61338">
                    <w:rPr>
                      <w:color w:val="auto"/>
                    </w:rPr>
                    <w:t xml:space="preserve"> </w:t>
                  </w:r>
                  <w:r>
                    <w:rPr>
                      <w:color w:val="auto"/>
                    </w:rPr>
                    <w:t>–</w:t>
                  </w:r>
                  <w:r w:rsidRPr="00B61338">
                    <w:rPr>
                      <w:color w:val="auto"/>
                    </w:rPr>
                    <w:t xml:space="preserve"> </w:t>
                  </w:r>
                  <w:proofErr w:type="spellStart"/>
                  <w:r>
                    <w:rPr>
                      <w:color w:val="auto"/>
                    </w:rPr>
                    <w:t>MentorPAL</w:t>
                  </w:r>
                  <w:proofErr w:type="spellEnd"/>
                  <w:r>
                    <w:rPr>
                      <w:color w:val="auto"/>
                    </w:rPr>
                    <w:t xml:space="preserve"> video clip </w:t>
                  </w:r>
                  <w:r>
                    <w:rPr>
                      <w:color w:val="auto"/>
                    </w:rPr>
                    <w:br/>
                    <w:t xml:space="preserve">on 2-D monitor </w:t>
                  </w:r>
                </w:p>
                <w:p w:rsidR="00CD0FC2" w:rsidRDefault="00CD0FC2" w:rsidP="00CD0FC2"/>
              </w:txbxContent>
            </v:textbox>
            <w10:wrap type="none"/>
            <w10:anchorlock/>
          </v:shape>
        </w:pict>
      </w:r>
      <w:r>
        <w:t xml:space="preserve"> </w:t>
      </w:r>
      <w:r>
        <w:pict>
          <v:shape id="_x0000_s1026" type="#_x0000_t202" style="width:160.35pt;height:155.85pt;mso-position-horizontal-relative:char;mso-position-vertical-relative:line;mso-width-relative:margin;mso-height-relative:margin" stroked="f">
            <v:textbox style="mso-next-textbox:#_x0000_s1026">
              <w:txbxContent>
                <w:p w:rsidR="00CD0FC2" w:rsidRDefault="00CD0FC2" w:rsidP="00CD0FC2">
                  <w:pPr>
                    <w:keepNext/>
                    <w:tabs>
                      <w:tab w:val="left" w:pos="1386"/>
                    </w:tabs>
                    <w:jc w:val="center"/>
                  </w:pPr>
                  <w:r w:rsidRPr="00465689">
                    <w:rPr>
                      <w:noProof/>
                    </w:rPr>
                    <w:drawing>
                      <wp:inline distT="0" distB="0" distL="0" distR="0">
                        <wp:extent cx="1753651" cy="1359081"/>
                        <wp:effectExtent l="19050" t="0" r="0"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753651" cy="1359081"/>
                                </a:xfrm>
                                <a:prstGeom prst="rect">
                                  <a:avLst/>
                                </a:prstGeom>
                              </pic:spPr>
                            </pic:pic>
                          </a:graphicData>
                        </a:graphic>
                      </wp:inline>
                    </w:drawing>
                  </w:r>
                </w:p>
                <w:p w:rsidR="00CD0FC2" w:rsidRDefault="00CD0FC2" w:rsidP="00CD0FC2">
                  <w:pPr>
                    <w:pStyle w:val="Caption"/>
                    <w:spacing w:before="180" w:after="0"/>
                    <w:ind w:left="86"/>
                    <w:jc w:val="center"/>
                  </w:pPr>
                  <w:r w:rsidRPr="00B61338">
                    <w:rPr>
                      <w:color w:val="auto"/>
                    </w:rPr>
                    <w:t xml:space="preserve">Figure </w:t>
                  </w:r>
                  <w:r w:rsidRPr="00B61338">
                    <w:rPr>
                      <w:color w:val="auto"/>
                    </w:rPr>
                    <w:fldChar w:fldCharType="begin"/>
                  </w:r>
                  <w:r w:rsidRPr="00B61338">
                    <w:rPr>
                      <w:color w:val="auto"/>
                    </w:rPr>
                    <w:instrText xml:space="preserve"> SEQ Figure \* ARABIC </w:instrText>
                  </w:r>
                  <w:r w:rsidRPr="00B61338">
                    <w:rPr>
                      <w:color w:val="auto"/>
                    </w:rPr>
                    <w:fldChar w:fldCharType="separate"/>
                  </w:r>
                  <w:r w:rsidR="00BF0701">
                    <w:rPr>
                      <w:noProof/>
                      <w:color w:val="auto"/>
                    </w:rPr>
                    <w:t>3</w:t>
                  </w:r>
                  <w:r w:rsidRPr="00B61338">
                    <w:rPr>
                      <w:color w:val="auto"/>
                    </w:rPr>
                    <w:fldChar w:fldCharType="end"/>
                  </w:r>
                  <w:r w:rsidRPr="00B61338">
                    <w:rPr>
                      <w:color w:val="auto"/>
                    </w:rPr>
                    <w:t xml:space="preserve"> </w:t>
                  </w:r>
                  <w:r>
                    <w:rPr>
                      <w:color w:val="auto"/>
                    </w:rPr>
                    <w:t>–</w:t>
                  </w:r>
                  <w:r w:rsidRPr="00B61338">
                    <w:rPr>
                      <w:color w:val="auto"/>
                    </w:rPr>
                    <w:t xml:space="preserve"> Fully Animated </w:t>
                  </w:r>
                  <w:r>
                    <w:rPr>
                      <w:color w:val="auto"/>
                    </w:rPr>
                    <w:br/>
                  </w:r>
                  <w:r w:rsidRPr="00B61338">
                    <w:rPr>
                      <w:color w:val="auto"/>
                    </w:rPr>
                    <w:t xml:space="preserve">CGI </w:t>
                  </w:r>
                  <w:r>
                    <w:rPr>
                      <w:color w:val="auto"/>
                    </w:rPr>
                    <w:t>in SimCoach</w:t>
                  </w:r>
                </w:p>
              </w:txbxContent>
            </v:textbox>
            <w10:wrap type="none"/>
            <w10:anchorlock/>
          </v:shape>
        </w:pict>
      </w:r>
    </w:p>
    <w:p w:rsidR="00CD0FC2" w:rsidRDefault="00CD0FC2" w:rsidP="00CD0FC2">
      <w:pPr>
        <w:jc w:val="both"/>
      </w:pPr>
    </w:p>
    <w:p w:rsidR="00CD0FC2" w:rsidRDefault="00CD0FC2" w:rsidP="00CD0FC2">
      <w:pPr>
        <w:jc w:val="both"/>
      </w:pPr>
      <w:r>
        <w:t>Although a virtual human may seem as simple as remodeling a human using CGI, it turns out that it takes significant study and effort to implement a Virtual Human, and the process can consume considerable computing power to do so effectively. The essential elements that go into the creation of a virtual human with lifelike abilities include nat</w:t>
      </w:r>
      <w:r>
        <w:t>u</w:t>
      </w:r>
      <w:r>
        <w:t>ral language processing, machine learning, VR, CGI, and social stimulation.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composes “an area of research and applic</w:t>
      </w:r>
      <w:r>
        <w:t>a</w:t>
      </w:r>
      <w:r>
        <w:t xml:space="preserve">tion that explores how computers can be used to understand and manipulate natural language text or speech to do useful things” </w:t>
      </w:r>
      <w:r w:rsidR="002B226E">
        <w:t>(</w:t>
      </w:r>
      <w:proofErr w:type="spellStart"/>
      <w:r w:rsidR="00BE0D1E">
        <w:t>Chowdhury</w:t>
      </w:r>
      <w:proofErr w:type="spellEnd"/>
      <w:r w:rsidR="00BE0D1E">
        <w:t xml:space="preserve">, </w:t>
      </w:r>
      <w:r w:rsidR="002B226E" w:rsidRPr="00852988">
        <w:t>2003</w:t>
      </w:r>
      <w:r w:rsidR="002B226E">
        <w:t>)</w:t>
      </w:r>
      <w:r>
        <w:t>. Using this definition within the context of virtual environments, NLP tools a</w:t>
      </w:r>
      <w:r>
        <w:t>l</w:t>
      </w:r>
      <w:r>
        <w:t>low computer technology to recognize voice input, analyze voice tone, provide lifelike conversation, retrieve info</w:t>
      </w:r>
      <w:r>
        <w:t>r</w:t>
      </w:r>
      <w:r>
        <w:t>mation, and many other applications in combination with machine learning. Recent developments in NLP have made significant a</w:t>
      </w:r>
      <w:r>
        <w:t>d</w:t>
      </w:r>
      <w:r>
        <w:t xml:space="preserve">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2B226E">
        <w:t>(</w:t>
      </w:r>
      <w:proofErr w:type="spellStart"/>
      <w:r w:rsidR="00BE0D1E">
        <w:t>Collobert</w:t>
      </w:r>
      <w:proofErr w:type="spellEnd"/>
      <w:r w:rsidR="002B226E" w:rsidRPr="00852988">
        <w:t xml:space="preserve"> &amp; Weston, J. (2008</w:t>
      </w:r>
      <w:r w:rsidR="002B226E">
        <w:t>)</w:t>
      </w:r>
      <w:r>
        <w:t xml:space="preserve">. </w:t>
      </w:r>
    </w:p>
    <w:p w:rsidR="00CD0FC2" w:rsidRDefault="00CD0FC2" w:rsidP="00CD0FC2">
      <w:pPr>
        <w:jc w:val="both"/>
      </w:pPr>
    </w:p>
    <w:p w:rsidR="00CD0FC2" w:rsidRDefault="00CD0FC2" w:rsidP="00CD0FC2">
      <w:pPr>
        <w:jc w:val="both"/>
      </w:pPr>
      <w:r>
        <w:t xml:space="preserve">Many applications, through interpretation of language, have been quickly advanced by the researchers focusing their studies on the field. At ICT, progress has been made in training and learning environments </w:t>
      </w:r>
      <w:r w:rsidR="002B226E">
        <w:t>(</w:t>
      </w:r>
      <w:r w:rsidR="002B226E" w:rsidRPr="00852988">
        <w:t>Kenny</w:t>
      </w:r>
      <w:r w:rsidR="00BE0D1E" w:rsidRPr="00BE0D1E">
        <w:t xml:space="preserve"> </w:t>
      </w:r>
      <w:r w:rsidR="00AB3A67" w:rsidRPr="00AB3A67">
        <w:rPr>
          <w:i/>
        </w:rPr>
        <w:t>et al.</w:t>
      </w:r>
      <w:r w:rsidR="00BE0D1E">
        <w:t xml:space="preserve">, </w:t>
      </w:r>
      <w:r w:rsidR="002B226E" w:rsidRPr="00852988">
        <w:t>2007</w:t>
      </w:r>
      <w:r w:rsidR="002B226E">
        <w:t>)</w:t>
      </w:r>
      <w:r>
        <w:t xml:space="preserve">, multi-party dialogues </w:t>
      </w:r>
      <w:r w:rsidR="002B226E">
        <w:t>(</w:t>
      </w:r>
      <w:r w:rsidR="00BE0D1E">
        <w:t xml:space="preserve">Traum &amp; </w:t>
      </w:r>
      <w:proofErr w:type="spellStart"/>
      <w:r w:rsidR="00BE0D1E">
        <w:t>Rickel</w:t>
      </w:r>
      <w:proofErr w:type="spellEnd"/>
      <w:r w:rsidR="00BE0D1E">
        <w:t xml:space="preserve">, </w:t>
      </w:r>
      <w:r w:rsidR="002B226E" w:rsidRPr="00852988">
        <w:t>2002</w:t>
      </w:r>
      <w:r w:rsidR="002B226E">
        <w:t>)</w:t>
      </w:r>
      <w:r>
        <w:t xml:space="preserve">, ethics and cooperation </w:t>
      </w:r>
      <w:r w:rsidR="002B226E">
        <w:t>(</w:t>
      </w:r>
      <w:proofErr w:type="spellStart"/>
      <w:r w:rsidR="002B226E" w:rsidRPr="00852988">
        <w:t>Allwood</w:t>
      </w:r>
      <w:proofErr w:type="spellEnd"/>
      <w:r w:rsidR="00DE1647" w:rsidRPr="00DE1647">
        <w:t xml:space="preserve"> </w:t>
      </w:r>
      <w:r w:rsidR="00AB3A67" w:rsidRPr="00AB3A67">
        <w:rPr>
          <w:i/>
        </w:rPr>
        <w:t>et al.</w:t>
      </w:r>
      <w:r w:rsidR="00DE1647">
        <w:t xml:space="preserve">, </w:t>
      </w:r>
      <w:r w:rsidR="002B226E" w:rsidRPr="00852988">
        <w:t>2000</w:t>
      </w:r>
      <w:r w:rsidR="002B226E">
        <w:t>)</w:t>
      </w:r>
      <w:r>
        <w:t>, health applic</w:t>
      </w:r>
      <w:r>
        <w:t>a</w:t>
      </w:r>
      <w:r>
        <w:t xml:space="preserve">tions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2006</w:t>
      </w:r>
      <w:r w:rsidR="002B226E">
        <w:t>)</w:t>
      </w:r>
      <w:r>
        <w:t>. Although automated speech recogn</w:t>
      </w:r>
      <w:r>
        <w:t>i</w:t>
      </w:r>
      <w:r>
        <w:t xml:space="preserve">tion (ASR) is far from perfect, prime software makes Virtual Humans practicable, “Google achieved 73.3% of exact recognized phrases with a 15.8% </w:t>
      </w:r>
      <w:r w:rsidR="002B226E">
        <w:t>(</w:t>
      </w:r>
      <w:r>
        <w:t>Word Error Rate</w:t>
      </w:r>
      <w:r w:rsidR="002B226E">
        <w:t>)</w:t>
      </w:r>
      <w:r>
        <w:t xml:space="preserve">” </w:t>
      </w:r>
      <w:r w:rsidR="002B226E">
        <w:t>(</w:t>
      </w:r>
      <w:proofErr w:type="spellStart"/>
      <w:r w:rsidR="002B226E" w:rsidRPr="00852988">
        <w:t>Kudryavtsev</w:t>
      </w:r>
      <w:proofErr w:type="spellEnd"/>
      <w:r w:rsidR="002B226E">
        <w:t>, 2017)</w:t>
      </w:r>
      <w:r>
        <w:t>, and the technology will continue to i</w:t>
      </w:r>
      <w:r>
        <w:t>m</w:t>
      </w:r>
      <w:r>
        <w:t xml:space="preserve">prove. It is also important to note that many of the errors in ASR are caused by slurred speech, cultural slang, and context, stemming from a “lack of consistent units of speech that are trainable and relatively insensitive to context” </w:t>
      </w:r>
      <w:r w:rsidR="002B226E">
        <w:t>(</w:t>
      </w:r>
      <w:r w:rsidR="00DE1647">
        <w:t xml:space="preserve">Lee, </w:t>
      </w:r>
      <w:r w:rsidR="002B226E" w:rsidRPr="00852988">
        <w:t>1988</w:t>
      </w:r>
      <w:r w:rsidR="002B226E">
        <w:t>)</w:t>
      </w:r>
      <w:r>
        <w:t>. Although this causes problems when comparing these transcriptions with global data, models can be trained locally to a particular person’s voice or a low resource language, using sof</w:t>
      </w:r>
      <w:r>
        <w:t>t</w:t>
      </w:r>
      <w:r>
        <w:t xml:space="preserve">ware such as CMU Sphinx from Carnegie Mellon University as applied to languages such as Arabic </w:t>
      </w:r>
      <w:r w:rsidR="002B226E">
        <w:t>(</w:t>
      </w:r>
      <w:proofErr w:type="spellStart"/>
      <w:r w:rsidR="002B226E" w:rsidRPr="00852988">
        <w:t>Satori</w:t>
      </w:r>
      <w:proofErr w:type="spellEnd"/>
      <w:r w:rsidR="00DE1647" w:rsidRPr="00DE1647">
        <w:t xml:space="preserve"> </w:t>
      </w:r>
      <w:r w:rsidR="00AB3A67" w:rsidRPr="00AB3A67">
        <w:rPr>
          <w:i/>
        </w:rPr>
        <w:t>et al.</w:t>
      </w:r>
      <w:r w:rsidR="00DE1647">
        <w:t xml:space="preserve">, </w:t>
      </w:r>
      <w:r w:rsidR="002B226E" w:rsidRPr="00852988">
        <w:t>2007</w:t>
      </w:r>
      <w:r w:rsidR="002B226E">
        <w:t>)</w:t>
      </w:r>
      <w:r>
        <w:t>. Although these customiz</w:t>
      </w:r>
      <w:r>
        <w:t>a</w:t>
      </w:r>
      <w:r>
        <w:t>tions and build-your-own languages can be more accurate, they take time to implement and often require i</w:t>
      </w:r>
      <w:r>
        <w:t>n</w:t>
      </w:r>
      <w:r>
        <w:t>creased local pr</w:t>
      </w:r>
      <w:r>
        <w:t>o</w:t>
      </w:r>
      <w:r>
        <w:t xml:space="preserve">cessing power.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 and ease of access are areas within which new research is emerging and seems directly applicable. Specifically, the speed and application of quantum computing will enable significant advances in NLP and its applications: one of which is the critical area of enhancing virtual humans.</w:t>
      </w:r>
    </w:p>
    <w:p w:rsidR="00CD0FC2" w:rsidRDefault="00CD0FC2" w:rsidP="00CD0FC2">
      <w:pPr>
        <w:jc w:val="both"/>
      </w:pPr>
    </w:p>
    <w:p w:rsidR="00CD0FC2" w:rsidRDefault="00CD0FC2" w:rsidP="00CD0FC2">
      <w:pPr>
        <w:jc w:val="both"/>
      </w:pPr>
      <w:r>
        <w:t xml:space="preserve">Virtual humans constitute-and should continue to constitute-a major role in virtual learning, virtual storytelling, VR/AR, and constructive simulation. 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2016</w:t>
      </w:r>
      <w:r w:rsidR="002B226E">
        <w:t>)</w:t>
      </w:r>
      <w:r>
        <w:t xml:space="preserve">. Modern learning calls for new methods of information transfer. Online tools like Khan Academy, YouTube, </w:t>
      </w:r>
      <w:proofErr w:type="spellStart"/>
      <w:r>
        <w:t>Coursera</w:t>
      </w:r>
      <w:proofErr w:type="spellEnd"/>
      <w:r>
        <w:t>, Lynda, and other massive open online courses (MOOCs) are gro</w:t>
      </w:r>
      <w:r>
        <w:t>w</w:t>
      </w:r>
      <w:r>
        <w:lastRenderedPageBreak/>
        <w:t>ing in popularity, and the trend does not seem to be slowing down. Many of these tools suffer from the lack of the immediacy and motivatio</w:t>
      </w:r>
      <w:r>
        <w:t>n</w:t>
      </w:r>
      <w:r>
        <w:t xml:space="preserve">al qualities of personal interaction with a human. </w:t>
      </w:r>
    </w:p>
    <w:p w:rsidR="00CD0FC2" w:rsidRDefault="00CD0FC2" w:rsidP="00CD0FC2">
      <w:pPr>
        <w:jc w:val="both"/>
      </w:pPr>
    </w:p>
    <w:p w:rsidR="00BF0701" w:rsidRDefault="00BF0701" w:rsidP="00BF0701">
      <w:pPr>
        <w:keepNext/>
        <w:jc w:val="both"/>
      </w:pPr>
      <w:r>
        <w:rPr>
          <w:noProof/>
        </w:rPr>
        <w:drawing>
          <wp:anchor distT="0" distB="0" distL="114300" distR="114300" simplePos="0" relativeHeight="251658240" behindDoc="0" locked="0" layoutInCell="1" allowOverlap="1">
            <wp:simplePos x="0" y="0"/>
            <wp:positionH relativeFrom="column">
              <wp:posOffset>2783840</wp:posOffset>
            </wp:positionH>
            <wp:positionV relativeFrom="paragraph">
              <wp:posOffset>365760</wp:posOffset>
            </wp:positionV>
            <wp:extent cx="3145155" cy="1767840"/>
            <wp:effectExtent l="19050" t="0" r="0" b="0"/>
            <wp:wrapSquare wrapText="bothSides"/>
            <wp:docPr id="14"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3145155" cy="1767840"/>
                    </a:xfrm>
                    <a:prstGeom prst="rect">
                      <a:avLst/>
                    </a:prstGeom>
                  </pic:spPr>
                </pic:pic>
              </a:graphicData>
            </a:graphic>
          </wp:anchor>
        </w:drawing>
      </w:r>
      <w:r w:rsidR="00CD0FC2">
        <w:t xml:space="preserve">Storytelling and gaming are also important facets of the virtual field. The New Dimensions in Testimony project “allows </w:t>
      </w:r>
      <w:proofErr w:type="gramStart"/>
      <w:r w:rsidR="00CD0FC2">
        <w:t>people</w:t>
      </w:r>
      <w:proofErr w:type="gramEnd"/>
      <w:r w:rsidR="00CD0FC2">
        <w:t xml:space="preserve"> to have an interactive conversation with a human storyteller (a Holocaust survivor) who has recorded a number of dialogue contributions (Figure 4), </w:t>
      </w:r>
    </w:p>
    <w:p w:rsidR="00CD0FC2" w:rsidRDefault="00BF0701" w:rsidP="00CD0FC2">
      <w:pPr>
        <w:jc w:val="both"/>
      </w:pPr>
      <w:r>
        <w:rPr>
          <w:noProof/>
        </w:rPr>
        <w:pict>
          <v:shape id="_x0000_s1029" type="#_x0000_t202" style="position:absolute;left:0;text-align:left;margin-left:219.2pt;margin-top:136.8pt;width:247.65pt;height:20.85pt;z-index:251660288" stroked="f">
            <v:textbox inset="0,0,0,0">
              <w:txbxContent>
                <w:p w:rsidR="00BF0701" w:rsidRPr="003B25BC" w:rsidRDefault="00BF0701" w:rsidP="00BF0701">
                  <w:pPr>
                    <w:pStyle w:val="Caption"/>
                    <w:jc w:val="center"/>
                    <w:rPr>
                      <w:noProof/>
                      <w:sz w:val="20"/>
                      <w:szCs w:val="20"/>
                    </w:rPr>
                  </w:pPr>
                  <w:r w:rsidRPr="00BF0701">
                    <w:rPr>
                      <w:color w:val="auto"/>
                    </w:rPr>
                    <w:t xml:space="preserve">Figure </w:t>
                  </w:r>
                  <w:r w:rsidRPr="00BF0701">
                    <w:rPr>
                      <w:color w:val="auto"/>
                    </w:rPr>
                    <w:fldChar w:fldCharType="begin"/>
                  </w:r>
                  <w:r w:rsidRPr="00BF0701">
                    <w:rPr>
                      <w:color w:val="auto"/>
                    </w:rPr>
                    <w:instrText xml:space="preserve"> SEQ Figure \* ARABIC </w:instrText>
                  </w:r>
                  <w:r w:rsidRPr="00BF0701">
                    <w:rPr>
                      <w:color w:val="auto"/>
                    </w:rPr>
                    <w:fldChar w:fldCharType="separate"/>
                  </w:r>
                  <w:r w:rsidRPr="00BF0701">
                    <w:rPr>
                      <w:noProof/>
                      <w:color w:val="auto"/>
                    </w:rPr>
                    <w:t>4</w:t>
                  </w:r>
                  <w:r w:rsidRPr="00BF0701">
                    <w:rPr>
                      <w:color w:val="auto"/>
                    </w:rPr>
                    <w:fldChar w:fldCharType="end"/>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w:t>
                  </w:r>
                  <w:r w:rsidRPr="00B002BF">
                    <w:rPr>
                      <w:color w:val="auto"/>
                    </w:rPr>
                    <w:t>s</w:t>
                  </w:r>
                  <w:r w:rsidRPr="00B002BF">
                    <w:rPr>
                      <w:color w:val="auto"/>
                    </w:rPr>
                    <w:t>play</w:t>
                  </w:r>
                </w:p>
              </w:txbxContent>
            </v:textbox>
            <w10:wrap type="square"/>
          </v:shape>
        </w:pict>
      </w:r>
      <w:proofErr w:type="gramStart"/>
      <w:r w:rsidR="00CD0FC2">
        <w:t>including</w:t>
      </w:r>
      <w:proofErr w:type="gramEnd"/>
      <w:r w:rsidR="00CD0FC2">
        <w:t xml:space="preserve"> many compelling narratives of his exp</w:t>
      </w:r>
      <w:r w:rsidR="00CD0FC2">
        <w:t>e</w:t>
      </w:r>
      <w:r w:rsidR="00CD0FC2">
        <w:t xml:space="preserve">riences and thoughts” </w:t>
      </w:r>
      <w:r w:rsidR="002B226E">
        <w:t>(</w:t>
      </w:r>
      <w:r w:rsidR="002B226E" w:rsidRPr="00852988">
        <w:t>Traum</w:t>
      </w:r>
      <w:r w:rsidR="00DE1647" w:rsidRPr="00DE1647">
        <w:t xml:space="preserve"> </w:t>
      </w:r>
      <w:r w:rsidR="00AB3A67" w:rsidRPr="00AB3A67">
        <w:rPr>
          <w:i/>
        </w:rPr>
        <w:t>et al.</w:t>
      </w:r>
      <w:r w:rsidR="00DE1647">
        <w:t xml:space="preserve">, </w:t>
      </w:r>
      <w:r w:rsidR="002B226E" w:rsidRPr="00852988">
        <w:t>2015</w:t>
      </w:r>
      <w:r w:rsidR="002B226E">
        <w:t>)</w:t>
      </w:r>
      <w:r w:rsidR="00CD0FC2">
        <w:t xml:space="preserve"> . The project’s mandated mission of preserving the st</w:t>
      </w:r>
      <w:r w:rsidR="00CD0FC2">
        <w:t>o</w:t>
      </w:r>
      <w:r w:rsidR="00CD0FC2">
        <w:t>ries of Holocaust su</w:t>
      </w:r>
      <w:r w:rsidR="00CD0FC2">
        <w:t>r</w:t>
      </w:r>
      <w:r w:rsidR="00CD0FC2">
        <w:t>vivors can be applied to other important persons and historical sagas of va</w:t>
      </w:r>
      <w:r w:rsidR="00CD0FC2">
        <w:t>l</w:t>
      </w:r>
      <w:r w:rsidR="00CD0FC2">
        <w:t>ue and interest. Advances in gaming allow for util</w:t>
      </w:r>
      <w:r w:rsidR="00CD0FC2">
        <w:t>i</w:t>
      </w:r>
      <w:r w:rsidR="00CD0FC2">
        <w:t>zation in learning, ente</w:t>
      </w:r>
      <w:r w:rsidR="00CD0FC2">
        <w:t>r</w:t>
      </w:r>
      <w:r w:rsidR="00CD0FC2">
        <w:t>tainment, healthcare, and lifelike training for areas like combat, base security, rea</w:t>
      </w:r>
      <w:r w:rsidR="00CD0FC2">
        <w:t>c</w:t>
      </w:r>
      <w:r w:rsidR="00CD0FC2">
        <w:t>tion team strategy, medical emergency r</w:t>
      </w:r>
      <w:r w:rsidR="00CD0FC2">
        <w:t>e</w:t>
      </w:r>
      <w:r w:rsidR="00CD0FC2">
        <w:t>sponses, interfaces with civi</w:t>
      </w:r>
      <w:r w:rsidR="00CD0FC2">
        <w:t>l</w:t>
      </w:r>
      <w:r w:rsidR="00CD0FC2">
        <w:t>ian populations, and critical thinking. The SimCoach system was deve</w:t>
      </w:r>
      <w:r w:rsidR="00CD0FC2">
        <w:t>l</w:t>
      </w:r>
      <w:r w:rsidR="00CD0FC2">
        <w:t>oped to assist Post Traumatic Stress Disorder (PTSD) su</w:t>
      </w:r>
      <w:r w:rsidR="00CD0FC2">
        <w:t>b</w:t>
      </w:r>
      <w:r w:rsidR="00CD0FC2">
        <w:t>jects and to “motivate users to take the first step – to e</w:t>
      </w:r>
      <w:r w:rsidR="00CD0FC2">
        <w:t>m</w:t>
      </w:r>
      <w:r w:rsidR="00CD0FC2">
        <w:t xml:space="preserve">power themselves to seek advice and information regarding their healthcare”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rsidR="00CD0FC2">
        <w:t>. These virtual systems have been shown to have more success, ge</w:t>
      </w:r>
      <w:r w:rsidR="00CD0FC2">
        <w:t>n</w:t>
      </w:r>
      <w:r w:rsidR="00CD0FC2">
        <w:t xml:space="preserve">erating deeper levels of confidence with patients than even live healthcare interactions </w:t>
      </w:r>
      <w:r w:rsidR="002B226E">
        <w:t>(</w:t>
      </w:r>
      <w:r w:rsidR="00DE1647">
        <w:t xml:space="preserve">Rizzo </w:t>
      </w:r>
      <w:r w:rsidR="00AB3A67" w:rsidRPr="00AB3A67">
        <w:rPr>
          <w:i/>
        </w:rPr>
        <w:t>et al.</w:t>
      </w:r>
      <w:r w:rsidR="00DE1647">
        <w:t xml:space="preserve">, </w:t>
      </w:r>
      <w:r w:rsidR="002B226E" w:rsidRPr="00852988">
        <w:t>2011</w:t>
      </w:r>
      <w:r w:rsidR="002B226E">
        <w:t>)</w:t>
      </w:r>
      <w:r w:rsidR="00CD0FC2">
        <w:t>. The su</w:t>
      </w:r>
      <w:r w:rsidR="00CD0FC2">
        <w:t>c</w:t>
      </w:r>
      <w:r w:rsidR="00CD0FC2">
        <w:t>cesses of these operations thus far encourage research into potential future applic</w:t>
      </w:r>
      <w:r w:rsidR="00CD0FC2">
        <w:t>a</w:t>
      </w:r>
      <w:r w:rsidR="00CD0FC2">
        <w:t>tions.</w:t>
      </w:r>
    </w:p>
    <w:p w:rsidR="00CD0FC2" w:rsidRDefault="00CD0FC2" w:rsidP="00CD0FC2">
      <w:pPr>
        <w:jc w:val="both"/>
      </w:pPr>
    </w:p>
    <w:p w:rsidR="000D660B" w:rsidRDefault="00CD0FC2" w:rsidP="00CD0FC2">
      <w:pPr>
        <w:jc w:val="both"/>
      </w:pPr>
      <w:r>
        <w:t>The benefits of virtual environments include making the most skilled instructors and resources available and scal</w:t>
      </w:r>
      <w:r>
        <w:t>a</w:t>
      </w:r>
      <w:r>
        <w:t>ble, engaging new learning environments, confidentiality, and global accessibility. Some of the negatives of virtual learning are the difficulties of personalizing learning to fit individual students, handling live question, responding to different learning styles, and similar limits to NLP and other processor and data heavy systems. On the positive side, this approach does allow for using only the best instructors and can avoid the classroom stricture against teaching to the lowest common denominator, having to respond to questions in a generic way. It can be trained to detect and cater to every student’s learning style, and other constraints faced by live teachers. Future fields of focus will i</w:t>
      </w:r>
      <w:r>
        <w:t>n</w:t>
      </w:r>
      <w:r>
        <w:t>clude streamlining the creation of such virtual environments and interaction. For example, it is possible to conceive a system which takes in a live recorded interview with a U.S. President, or other prominent or knowledgeable figure, and generates an interactive environment in which a user can experience the interview by asking the questions the</w:t>
      </w:r>
      <w:r>
        <w:t>m</w:t>
      </w:r>
      <w:r>
        <w:t xml:space="preserve">selves. Or a true virtual assistant that obviates the need for an assistant might provide a radical shift in the way the </w:t>
      </w:r>
      <w:proofErr w:type="gramStart"/>
      <w:r>
        <w:t>DoD</w:t>
      </w:r>
      <w:proofErr w:type="gramEnd"/>
      <w:r>
        <w:t xml:space="preserve"> functions. Such tools are already in existence, and they will only become more prevalent and powerful. Ho</w:t>
      </w:r>
      <w:r>
        <w:t>w</w:t>
      </w:r>
      <w:r>
        <w:t>ever, the need for extensive processing power, efficiency, and data storage and transfer remains a limiting factor for many such developments. The aforementioned applications call for considerable further exploration and research. They may well be amenable to a quantum annealing approach to deep learning enhancement.</w:t>
      </w:r>
      <w:r w:rsidR="00001B2B">
        <w:t xml:space="preserve"> </w:t>
      </w:r>
    </w:p>
    <w:p w:rsidR="000D660B" w:rsidRDefault="000D660B" w:rsidP="000905FD">
      <w:pPr>
        <w:jc w:val="both"/>
      </w:pPr>
    </w:p>
    <w:p w:rsidR="00CD0FC2" w:rsidRPr="00851034" w:rsidRDefault="00CD0FC2" w:rsidP="00CD0FC2">
      <w:pPr>
        <w:pStyle w:val="Heading1"/>
      </w:pPr>
      <w:r>
        <w:t xml:space="preserve">Mentor PAL  </w:t>
      </w:r>
    </w:p>
    <w:p w:rsidR="000905FD" w:rsidRDefault="000905FD" w:rsidP="000905FD">
      <w:pPr>
        <w:jc w:val="both"/>
      </w:pPr>
    </w:p>
    <w:p w:rsidR="000905FD" w:rsidRDefault="000905FD" w:rsidP="000905FD">
      <w:pPr>
        <w:jc w:val="both"/>
      </w:pPr>
    </w:p>
    <w:p w:rsidR="00CD0FC2" w:rsidRDefault="00CD0FC2" w:rsidP="00CD0FC2">
      <w:pPr>
        <w:pStyle w:val="Heading1"/>
      </w:pPr>
      <w:r>
        <w:t>System Engineering</w:t>
      </w:r>
    </w:p>
    <w:p w:rsidR="00CD0FC2" w:rsidRDefault="00CD0FC2" w:rsidP="000905FD">
      <w:pPr>
        <w:jc w:val="both"/>
      </w:pPr>
    </w:p>
    <w:p w:rsidR="0016391F" w:rsidRDefault="0016391F" w:rsidP="0016391F">
      <w:pPr>
        <w:pStyle w:val="Heading2"/>
      </w:pPr>
      <w:r>
        <w:t>The Discipline of System Engineering</w:t>
      </w:r>
    </w:p>
    <w:p w:rsidR="0016391F" w:rsidRDefault="0016391F" w:rsidP="000905FD">
      <w:pPr>
        <w:jc w:val="both"/>
      </w:pPr>
    </w:p>
    <w:p w:rsidR="0016391F" w:rsidRDefault="0016391F" w:rsidP="000905FD">
      <w:pPr>
        <w:jc w:val="both"/>
      </w:pPr>
    </w:p>
    <w:p w:rsidR="0016391F" w:rsidRDefault="0016391F" w:rsidP="0016391F">
      <w:pPr>
        <w:pStyle w:val="Heading2"/>
      </w:pPr>
      <w:r>
        <w:t>SE Tools Applicable to Mentor PAL</w:t>
      </w:r>
    </w:p>
    <w:p w:rsidR="0016391F" w:rsidRDefault="0016391F" w:rsidP="000905FD">
      <w:pPr>
        <w:jc w:val="both"/>
      </w:pPr>
    </w:p>
    <w:p w:rsidR="0016391F" w:rsidRDefault="0016391F" w:rsidP="000905FD">
      <w:pPr>
        <w:jc w:val="both"/>
      </w:pPr>
    </w:p>
    <w:p w:rsidR="0016391F" w:rsidRDefault="0016391F" w:rsidP="000905FD">
      <w:pPr>
        <w:jc w:val="both"/>
      </w:pPr>
    </w:p>
    <w:p w:rsidR="0016391F" w:rsidRDefault="0016391F" w:rsidP="0016391F">
      <w:pPr>
        <w:pStyle w:val="Heading2"/>
      </w:pPr>
      <w:r>
        <w:t>Current Application Efforts</w:t>
      </w:r>
    </w:p>
    <w:p w:rsidR="0016391F" w:rsidRDefault="0016391F" w:rsidP="000905FD">
      <w:pPr>
        <w:jc w:val="both"/>
      </w:pPr>
    </w:p>
    <w:p w:rsidR="0016391F" w:rsidRDefault="0016391F" w:rsidP="000905FD">
      <w:pPr>
        <w:jc w:val="both"/>
      </w:pPr>
    </w:p>
    <w:p w:rsidR="0016391F" w:rsidRDefault="0016391F" w:rsidP="0016391F">
      <w:pPr>
        <w:pStyle w:val="Heading2"/>
      </w:pPr>
      <w:r>
        <w:lastRenderedPageBreak/>
        <w:t>Impact of SE on Mentor PAL to Date</w:t>
      </w:r>
    </w:p>
    <w:p w:rsidR="0016391F" w:rsidRDefault="0016391F" w:rsidP="000905FD">
      <w:pPr>
        <w:jc w:val="both"/>
      </w:pPr>
    </w:p>
    <w:p w:rsidR="0016391F" w:rsidRDefault="0016391F" w:rsidP="000905FD">
      <w:pPr>
        <w:jc w:val="both"/>
      </w:pPr>
    </w:p>
    <w:p w:rsidR="00CD0FC2" w:rsidRDefault="00CD0FC2" w:rsidP="000905FD">
      <w:pPr>
        <w:jc w:val="both"/>
      </w:pPr>
    </w:p>
    <w:p w:rsidR="00CD0FC2" w:rsidRDefault="00BF0701" w:rsidP="00BF0701">
      <w:pPr>
        <w:pStyle w:val="Heading1"/>
      </w:pPr>
      <w:r>
        <w:t>Analysis</w:t>
      </w:r>
    </w:p>
    <w:p w:rsidR="00BF0701" w:rsidRDefault="00BF0701" w:rsidP="000905FD">
      <w:pPr>
        <w:jc w:val="both"/>
      </w:pPr>
    </w:p>
    <w:p w:rsidR="00BF0701" w:rsidRDefault="00BF0701" w:rsidP="00BF0701">
      <w:pPr>
        <w:pStyle w:val="Heading1"/>
      </w:pPr>
      <w:r>
        <w:t>Conclusions</w:t>
      </w:r>
    </w:p>
    <w:p w:rsidR="00BF0701" w:rsidRDefault="00BF0701" w:rsidP="000905FD">
      <w:pPr>
        <w:jc w:val="both"/>
      </w:pPr>
    </w:p>
    <w:p w:rsidR="00BF0701" w:rsidRDefault="00BF0701" w:rsidP="00BF0701">
      <w:pPr>
        <w:pStyle w:val="Heading1"/>
      </w:pPr>
      <w:r>
        <w:t xml:space="preserve">Acknowledgements </w:t>
      </w:r>
    </w:p>
    <w:p w:rsidR="00BF0701" w:rsidRDefault="00BF0701" w:rsidP="000905FD">
      <w:pPr>
        <w:jc w:val="both"/>
      </w:pPr>
    </w:p>
    <w:p w:rsidR="00BF0701" w:rsidRDefault="00BF0701" w:rsidP="00BF0701">
      <w:pPr>
        <w:pStyle w:val="Heading1"/>
      </w:pPr>
      <w:r>
        <w:t xml:space="preserve">References </w:t>
      </w:r>
    </w:p>
    <w:p w:rsidR="00BF0701" w:rsidRDefault="00BF0701" w:rsidP="000905FD">
      <w:pPr>
        <w:jc w:val="both"/>
      </w:pPr>
    </w:p>
    <w:p w:rsidR="00BF0701" w:rsidRPr="00BF0701" w:rsidRDefault="00BF0701" w:rsidP="00BF0701">
      <w:pPr>
        <w:pStyle w:val="SIW-Ref"/>
        <w:numPr>
          <w:ilvl w:val="0"/>
          <w:numId w:val="0"/>
        </w:numPr>
        <w:tabs>
          <w:tab w:val="clear" w:pos="450"/>
          <w:tab w:val="left" w:pos="540"/>
        </w:tabs>
        <w:ind w:left="360" w:right="180" w:hanging="180"/>
      </w:pPr>
      <w:proofErr w:type="spellStart"/>
      <w:proofErr w:type="gramStart"/>
      <w:r w:rsidRPr="00BF0701">
        <w:t>Allwood</w:t>
      </w:r>
      <w:proofErr w:type="spellEnd"/>
      <w:r w:rsidRPr="00BF0701">
        <w:t xml:space="preserve">, J., Traum, D., &amp; </w:t>
      </w:r>
      <w:proofErr w:type="spellStart"/>
      <w:r w:rsidRPr="00BF0701">
        <w:t>Jokinen</w:t>
      </w:r>
      <w:proofErr w:type="spellEnd"/>
      <w:r w:rsidRPr="00BF0701">
        <w:t>, K. (2000).</w:t>
      </w:r>
      <w:proofErr w:type="gramEnd"/>
      <w:r w:rsidRPr="00BF0701">
        <w:t xml:space="preserve"> “Cooperation, Dialogue and Ethics.” International Journal of Human-Computer Studies, 53(6), 871-914.</w:t>
      </w:r>
    </w:p>
    <w:p w:rsidR="00BF0701" w:rsidRPr="00BF0701" w:rsidRDefault="00BF0701" w:rsidP="00BF0701">
      <w:pPr>
        <w:pStyle w:val="SIW-Ref"/>
        <w:numPr>
          <w:ilvl w:val="0"/>
          <w:numId w:val="0"/>
        </w:numPr>
        <w:tabs>
          <w:tab w:val="clear" w:pos="450"/>
          <w:tab w:val="left" w:pos="540"/>
        </w:tabs>
        <w:ind w:left="360" w:right="180" w:hanging="180"/>
      </w:pPr>
      <w:proofErr w:type="spellStart"/>
      <w:r w:rsidRPr="00BF0701">
        <w:t>Chowdhury</w:t>
      </w:r>
      <w:proofErr w:type="spellEnd"/>
      <w:r w:rsidRPr="00BF0701">
        <w:t xml:space="preserve">, G. G. (2003). “Natural language processing.” </w:t>
      </w:r>
      <w:proofErr w:type="gramStart"/>
      <w:r w:rsidRPr="00BF0701">
        <w:t>Annual review of information science and technol</w:t>
      </w:r>
      <w:r w:rsidRPr="00BF0701">
        <w:t>o</w:t>
      </w:r>
      <w:r w:rsidRPr="00BF0701">
        <w:t>gy, 37(1), 51-89.</w:t>
      </w:r>
      <w:proofErr w:type="gramEnd"/>
    </w:p>
    <w:p w:rsidR="00BF0701" w:rsidRPr="00BF0701" w:rsidRDefault="00BF0701" w:rsidP="00BF0701">
      <w:pPr>
        <w:pStyle w:val="SIW-Ref"/>
        <w:numPr>
          <w:ilvl w:val="0"/>
          <w:numId w:val="0"/>
        </w:numPr>
        <w:tabs>
          <w:tab w:val="clear" w:pos="450"/>
          <w:tab w:val="left" w:pos="540"/>
        </w:tabs>
        <w:ind w:left="360" w:right="180" w:hanging="180"/>
      </w:pPr>
      <w:proofErr w:type="spellStart"/>
      <w:proofErr w:type="gramStart"/>
      <w:r w:rsidRPr="00BF0701">
        <w:t>Collobert</w:t>
      </w:r>
      <w:proofErr w:type="spellEnd"/>
      <w:r w:rsidRPr="00BF0701">
        <w:t>, R., &amp; Weston, J. (2008, July).</w:t>
      </w:r>
      <w:proofErr w:type="gramEnd"/>
      <w:r w:rsidRPr="00BF0701">
        <w:t xml:space="preserve"> “A unified architecture for natural language processing: Deep neural networks with multitask learning.” In Proceedings of the 25th international conference on Machine learning (pp. 160-167). </w:t>
      </w:r>
      <w:proofErr w:type="gramStart"/>
      <w:r w:rsidRPr="00BF0701">
        <w:t>ACM.</w:t>
      </w:r>
      <w:proofErr w:type="gramEnd"/>
    </w:p>
    <w:p w:rsidR="00BF0701" w:rsidRPr="00BF0701" w:rsidRDefault="00BF0701" w:rsidP="00BF0701">
      <w:pPr>
        <w:pStyle w:val="SIW-Ref"/>
        <w:numPr>
          <w:ilvl w:val="0"/>
          <w:numId w:val="0"/>
        </w:numPr>
        <w:tabs>
          <w:tab w:val="clear" w:pos="450"/>
          <w:tab w:val="left" w:pos="540"/>
        </w:tabs>
        <w:ind w:left="360" w:right="180" w:hanging="180"/>
      </w:pPr>
      <w:proofErr w:type="gramStart"/>
      <w:r w:rsidRPr="00BF0701">
        <w:t xml:space="preserve">Kenny, P., Hartholt, A., </w:t>
      </w:r>
      <w:proofErr w:type="spellStart"/>
      <w:r w:rsidRPr="00BF0701">
        <w:t>Gratch</w:t>
      </w:r>
      <w:proofErr w:type="spellEnd"/>
      <w:r w:rsidRPr="00BF0701">
        <w:t xml:space="preserve">, J., Swartout, W., Traum, D., Marsella, S., &amp; </w:t>
      </w:r>
      <w:proofErr w:type="spellStart"/>
      <w:r w:rsidRPr="00BF0701">
        <w:t>Piepol</w:t>
      </w:r>
      <w:proofErr w:type="spellEnd"/>
      <w:r w:rsidRPr="00BF0701">
        <w:t>, D. (2007, November).</w:t>
      </w:r>
      <w:proofErr w:type="gramEnd"/>
      <w:r w:rsidRPr="00BF0701">
        <w:t xml:space="preserve"> “Building Interactive Virtual Humans for Training Environments.” </w:t>
      </w:r>
      <w:proofErr w:type="gramStart"/>
      <w:r w:rsidRPr="00BF0701">
        <w:t xml:space="preserve">In Proceedings of the </w:t>
      </w:r>
      <w:r w:rsidRPr="00BF0701">
        <w:rPr>
          <w:rStyle w:val="Emphasis"/>
        </w:rPr>
        <w:t>Interservice/Industry Simulation, Training and Education Conference</w:t>
      </w:r>
      <w:r w:rsidRPr="00BF0701">
        <w:t>, Orlando, Florida, 2007 (Vol. 174).</w:t>
      </w:r>
      <w:proofErr w:type="gramEnd"/>
    </w:p>
    <w:p w:rsidR="00BF0701" w:rsidRPr="00BF0701" w:rsidRDefault="00BF0701" w:rsidP="00BF0701">
      <w:pPr>
        <w:pStyle w:val="SIW-Ref"/>
        <w:numPr>
          <w:ilvl w:val="0"/>
          <w:numId w:val="0"/>
        </w:numPr>
        <w:tabs>
          <w:tab w:val="clear" w:pos="450"/>
          <w:tab w:val="left" w:pos="540"/>
        </w:tabs>
        <w:ind w:left="360" w:right="180" w:hanging="180"/>
      </w:pPr>
      <w:proofErr w:type="spellStart"/>
      <w:r w:rsidRPr="00BF0701">
        <w:t>Kudryavtsev</w:t>
      </w:r>
      <w:proofErr w:type="spellEnd"/>
      <w:r w:rsidRPr="00BF0701">
        <w:t xml:space="preserve">, </w:t>
      </w:r>
      <w:proofErr w:type="spellStart"/>
      <w:r w:rsidRPr="00BF0701">
        <w:t>Andrey</w:t>
      </w:r>
      <w:proofErr w:type="spellEnd"/>
      <w:r w:rsidRPr="00BF0701">
        <w:t xml:space="preserve">. "Automatic Speech Recognition Services Comparison." Grid Designer's Blog. </w:t>
      </w:r>
      <w:proofErr w:type="spellStart"/>
      <w:r w:rsidRPr="00BF0701">
        <w:t>N.p</w:t>
      </w:r>
      <w:proofErr w:type="spellEnd"/>
      <w:r w:rsidRPr="00BF0701">
        <w:t>., 11 Jan. 2016. Web. 20 Apr. 2017. Available: &lt;http://blog-archive.griddynamics.com/2016/01/automatic-speech-recognition-services.html&gt;.</w:t>
      </w:r>
    </w:p>
    <w:p w:rsidR="00BF0701" w:rsidRPr="00BF0701" w:rsidRDefault="00BF0701" w:rsidP="00BF0701">
      <w:pPr>
        <w:pStyle w:val="SIW-Ref"/>
        <w:numPr>
          <w:ilvl w:val="0"/>
          <w:numId w:val="0"/>
        </w:numPr>
        <w:tabs>
          <w:tab w:val="clear" w:pos="450"/>
          <w:tab w:val="left" w:pos="540"/>
        </w:tabs>
        <w:ind w:left="360" w:right="180" w:hanging="180"/>
      </w:pPr>
      <w:r w:rsidRPr="00BF0701">
        <w:t xml:space="preserve">Lee, K. F. (1988). “Automatic speech recognition: the development of the SPHINX system” (Vol. 62). </w:t>
      </w:r>
      <w:proofErr w:type="gramStart"/>
      <w:r w:rsidRPr="00BF0701">
        <w:t>Springer Science &amp; Business Media.</w:t>
      </w:r>
      <w:proofErr w:type="gramEnd"/>
    </w:p>
    <w:p w:rsidR="00BF0701" w:rsidRPr="00BF0701" w:rsidRDefault="00BF0701" w:rsidP="00BF0701">
      <w:pPr>
        <w:pStyle w:val="SIW-Ref"/>
        <w:numPr>
          <w:ilvl w:val="0"/>
          <w:numId w:val="0"/>
        </w:numPr>
        <w:tabs>
          <w:tab w:val="clear" w:pos="450"/>
          <w:tab w:val="left" w:pos="540"/>
        </w:tabs>
        <w:ind w:left="360" w:right="180" w:hanging="180"/>
      </w:pPr>
      <w:r w:rsidRPr="00BF0701">
        <w:t xml:space="preserve">Rizzo, A., Lange, B., </w:t>
      </w:r>
      <w:proofErr w:type="spellStart"/>
      <w:r w:rsidRPr="00BF0701">
        <w:t>Buckwalter</w:t>
      </w:r>
      <w:proofErr w:type="spellEnd"/>
      <w:r w:rsidRPr="00BF0701">
        <w:t xml:space="preserve">, J. G., </w:t>
      </w:r>
      <w:proofErr w:type="spellStart"/>
      <w:r w:rsidRPr="00BF0701">
        <w:t>Forbell</w:t>
      </w:r>
      <w:proofErr w:type="spellEnd"/>
      <w:r w:rsidRPr="00BF0701">
        <w:t xml:space="preserve">, E., Kim, J., </w:t>
      </w:r>
      <w:proofErr w:type="spellStart"/>
      <w:r w:rsidRPr="00BF0701">
        <w:t>Sagae</w:t>
      </w:r>
      <w:proofErr w:type="spellEnd"/>
      <w:r w:rsidRPr="00BF0701">
        <w:t>, K</w:t>
      </w:r>
      <w:proofErr w:type="gramStart"/>
      <w:r w:rsidRPr="00BF0701">
        <w:t>., ...</w:t>
      </w:r>
      <w:proofErr w:type="gramEnd"/>
      <w:r w:rsidRPr="00BF0701">
        <w:t xml:space="preserve"> &amp; Parsons, T. (2011). “SimCoach: an Intelligent Virtual Human System for Providing Healthcare Information and Support.” International Journal on Dis</w:t>
      </w:r>
      <w:r w:rsidRPr="00BF0701">
        <w:t>a</w:t>
      </w:r>
      <w:r w:rsidRPr="00BF0701">
        <w:t>bility and Human Development, 10(4), 277-281.</w:t>
      </w:r>
    </w:p>
    <w:p w:rsidR="00BF0701" w:rsidRPr="00BF0701" w:rsidRDefault="00BF0701" w:rsidP="00BF0701">
      <w:pPr>
        <w:pStyle w:val="SIW-Ref"/>
        <w:numPr>
          <w:ilvl w:val="0"/>
          <w:numId w:val="0"/>
        </w:numPr>
        <w:tabs>
          <w:tab w:val="clear" w:pos="450"/>
          <w:tab w:val="left" w:pos="540"/>
        </w:tabs>
        <w:ind w:left="360" w:right="180" w:hanging="180"/>
      </w:pPr>
      <w:r w:rsidRPr="00BF0701">
        <w:t xml:space="preserve">Rizzo, A., Lange, B., </w:t>
      </w:r>
      <w:proofErr w:type="spellStart"/>
      <w:r w:rsidRPr="00BF0701">
        <w:t>Buckwalter</w:t>
      </w:r>
      <w:proofErr w:type="spellEnd"/>
      <w:r w:rsidRPr="00BF0701">
        <w:t xml:space="preserve">, J. G., </w:t>
      </w:r>
      <w:proofErr w:type="spellStart"/>
      <w:r w:rsidRPr="00BF0701">
        <w:t>Forbell</w:t>
      </w:r>
      <w:proofErr w:type="spellEnd"/>
      <w:r w:rsidRPr="00BF0701">
        <w:t xml:space="preserve">, E., Kim, J., </w:t>
      </w:r>
      <w:proofErr w:type="spellStart"/>
      <w:r w:rsidRPr="00BF0701">
        <w:t>Sagae</w:t>
      </w:r>
      <w:proofErr w:type="spellEnd"/>
      <w:r w:rsidRPr="00BF0701">
        <w:t>, K</w:t>
      </w:r>
      <w:proofErr w:type="gramStart"/>
      <w:r w:rsidRPr="00BF0701">
        <w:t>., ...</w:t>
      </w:r>
      <w:proofErr w:type="gramEnd"/>
      <w:r w:rsidRPr="00BF0701">
        <w:t xml:space="preserve"> &amp; Parsons, T. (2011). “SimCoach: an Intelligent Virtual Human System for Providing Healthcare Information and Support.” International Journal on Dis</w:t>
      </w:r>
      <w:r w:rsidRPr="00BF0701">
        <w:t>a</w:t>
      </w:r>
      <w:r w:rsidRPr="00BF0701">
        <w:t>bility and Human Development, 10(4), 277-281.</w:t>
      </w:r>
    </w:p>
    <w:p w:rsidR="00BF0701" w:rsidRPr="00BF0701" w:rsidRDefault="00BF0701" w:rsidP="00BF0701">
      <w:pPr>
        <w:pStyle w:val="SIW-Ref"/>
        <w:numPr>
          <w:ilvl w:val="0"/>
          <w:numId w:val="0"/>
        </w:numPr>
        <w:tabs>
          <w:tab w:val="clear" w:pos="450"/>
          <w:tab w:val="left" w:pos="540"/>
        </w:tabs>
        <w:ind w:left="360" w:right="180" w:hanging="180"/>
      </w:pPr>
      <w:proofErr w:type="spellStart"/>
      <w:proofErr w:type="gramStart"/>
      <w:r w:rsidRPr="00BF0701">
        <w:t>Satori</w:t>
      </w:r>
      <w:proofErr w:type="spellEnd"/>
      <w:r w:rsidRPr="00BF0701">
        <w:t xml:space="preserve">, H, </w:t>
      </w:r>
      <w:proofErr w:type="spellStart"/>
      <w:r w:rsidRPr="00BF0701">
        <w:t>Harti</w:t>
      </w:r>
      <w:proofErr w:type="spellEnd"/>
      <w:r w:rsidRPr="00BF0701">
        <w:t xml:space="preserve">, M., &amp; </w:t>
      </w:r>
      <w:proofErr w:type="spellStart"/>
      <w:r w:rsidRPr="00BF0701">
        <w:t>Chenfour</w:t>
      </w:r>
      <w:proofErr w:type="spellEnd"/>
      <w:r w:rsidRPr="00BF0701">
        <w:t>, N. (2007).</w:t>
      </w:r>
      <w:proofErr w:type="gramEnd"/>
      <w:r w:rsidRPr="00BF0701">
        <w:t xml:space="preserve"> “Introduction to Arabic Speech Recognition using CMU Sphinx System.” </w:t>
      </w:r>
      <w:proofErr w:type="spellStart"/>
      <w:r w:rsidRPr="00BF0701">
        <w:t>arXiv</w:t>
      </w:r>
      <w:proofErr w:type="spellEnd"/>
      <w:r w:rsidRPr="00BF0701">
        <w:t xml:space="preserve"> preprint arXiv</w:t>
      </w:r>
      <w:proofErr w:type="gramStart"/>
      <w:r w:rsidRPr="00BF0701">
        <w:t>:0704.2083</w:t>
      </w:r>
      <w:proofErr w:type="gramEnd"/>
      <w:r w:rsidRPr="00BF0701">
        <w:t>.</w:t>
      </w:r>
    </w:p>
    <w:p w:rsidR="00BF0701" w:rsidRPr="00BF0701" w:rsidRDefault="00BF0701" w:rsidP="00BF0701">
      <w:pPr>
        <w:pStyle w:val="SIW-Ref"/>
        <w:numPr>
          <w:ilvl w:val="0"/>
          <w:numId w:val="0"/>
        </w:numPr>
        <w:tabs>
          <w:tab w:val="clear" w:pos="450"/>
          <w:tab w:val="left" w:pos="540"/>
        </w:tabs>
        <w:ind w:left="360" w:right="180" w:hanging="180"/>
      </w:pPr>
      <w:r w:rsidRPr="00BF0701">
        <w:t xml:space="preserve">Swartout, W. R., </w:t>
      </w:r>
      <w:proofErr w:type="spellStart"/>
      <w:r w:rsidRPr="00BF0701">
        <w:t>Gratch</w:t>
      </w:r>
      <w:proofErr w:type="spellEnd"/>
      <w:r w:rsidRPr="00BF0701">
        <w:t xml:space="preserve">, J., Hill Jr., R W., Hovy, E., Marsella, S., </w:t>
      </w:r>
      <w:proofErr w:type="spellStart"/>
      <w:r w:rsidRPr="00BF0701">
        <w:t>Rickel</w:t>
      </w:r>
      <w:proofErr w:type="spellEnd"/>
      <w:r w:rsidRPr="00BF0701">
        <w:t>, J., &amp; Traum, D. (2006). “Toward Vi</w:t>
      </w:r>
      <w:r w:rsidRPr="00BF0701">
        <w:t>r</w:t>
      </w:r>
      <w:r w:rsidRPr="00BF0701">
        <w:t>tual Humans.” AI Magazine, 27(2), 96.</w:t>
      </w:r>
    </w:p>
    <w:p w:rsidR="00BF0701" w:rsidRPr="00BF0701" w:rsidRDefault="00BF0701" w:rsidP="00BF0701">
      <w:pPr>
        <w:pStyle w:val="SIW-Ref"/>
        <w:numPr>
          <w:ilvl w:val="0"/>
          <w:numId w:val="0"/>
        </w:numPr>
        <w:tabs>
          <w:tab w:val="clear" w:pos="450"/>
          <w:tab w:val="left" w:pos="540"/>
        </w:tabs>
        <w:ind w:left="360" w:right="180" w:hanging="180"/>
      </w:pPr>
      <w:r w:rsidRPr="00BF0701">
        <w:t>Swartout, W. R., Nye, B. D., Hartholt, A., Reilly, A., Graesser, A. C., VanLehn, K</w:t>
      </w:r>
      <w:proofErr w:type="gramStart"/>
      <w:r w:rsidRPr="00BF0701">
        <w:t>., ...</w:t>
      </w:r>
      <w:proofErr w:type="gramEnd"/>
      <w:r w:rsidRPr="00BF0701">
        <w:t xml:space="preserve"> &amp; Wang, L. (2016, March). “Designing a Personal Assistant for Life-Long Learning (PAL3).” </w:t>
      </w:r>
      <w:proofErr w:type="gramStart"/>
      <w:r w:rsidRPr="00BF0701">
        <w:t>In The Twenty-Ninth International Flairs Co</w:t>
      </w:r>
      <w:r w:rsidRPr="00BF0701">
        <w:t>n</w:t>
      </w:r>
      <w:r w:rsidRPr="00BF0701">
        <w:t>ference.</w:t>
      </w:r>
      <w:proofErr w:type="gramEnd"/>
    </w:p>
    <w:p w:rsidR="00BF0701" w:rsidRPr="00BF0701" w:rsidRDefault="00BF0701" w:rsidP="00BF0701">
      <w:pPr>
        <w:pStyle w:val="SIW-Ref"/>
        <w:numPr>
          <w:ilvl w:val="0"/>
          <w:numId w:val="0"/>
        </w:numPr>
        <w:tabs>
          <w:tab w:val="clear" w:pos="450"/>
          <w:tab w:val="left" w:pos="540"/>
        </w:tabs>
        <w:ind w:left="360" w:right="180" w:hanging="180"/>
      </w:pPr>
      <w:proofErr w:type="gramStart"/>
      <w:r w:rsidRPr="00BF0701">
        <w:t xml:space="preserve">Traum, D., &amp; </w:t>
      </w:r>
      <w:proofErr w:type="spellStart"/>
      <w:r w:rsidRPr="00BF0701">
        <w:t>Rickel</w:t>
      </w:r>
      <w:proofErr w:type="spellEnd"/>
      <w:r w:rsidRPr="00BF0701">
        <w:t>, J. (2002, July).</w:t>
      </w:r>
      <w:proofErr w:type="gramEnd"/>
      <w:r w:rsidRPr="00BF0701">
        <w:t xml:space="preserve"> “Embodied Agents for Multi-party Dialogue in Immersive Virtual Worlds.” In Proceedings of the first International Joint Conference on Autonomous Agents and Multi-agent Systems: part 2 (pp. 766-773). </w:t>
      </w:r>
      <w:proofErr w:type="gramStart"/>
      <w:r w:rsidRPr="00BF0701">
        <w:t>ACM.</w:t>
      </w:r>
      <w:proofErr w:type="gramEnd"/>
    </w:p>
    <w:p w:rsidR="00BF0701" w:rsidRPr="00BF0701" w:rsidRDefault="00BF0701" w:rsidP="00BF0701">
      <w:pPr>
        <w:pStyle w:val="SIW-Ref"/>
        <w:numPr>
          <w:ilvl w:val="0"/>
          <w:numId w:val="0"/>
        </w:numPr>
        <w:tabs>
          <w:tab w:val="clear" w:pos="450"/>
          <w:tab w:val="left" w:pos="540"/>
        </w:tabs>
        <w:ind w:left="360" w:right="180" w:hanging="180"/>
      </w:pPr>
      <w:r w:rsidRPr="00BF0701">
        <w:t>Traum, D., Jones, A., Hays, K., Maio, H., Alexander, O., Artstein, R., Debevec, P., Gainer, A., Georgila, K., Haase, K., Jungblut, K., Leuski, A., Smith, S., &amp; Jungblut, K. (2015, November). “New Dimensions in Te</w:t>
      </w:r>
      <w:r w:rsidRPr="00BF0701">
        <w:t>s</w:t>
      </w:r>
      <w:r w:rsidRPr="00BF0701">
        <w:t>timony: Digitally Preserving a Holocaust Survivor’s Interactive Storytelling.” In International Conference on Intera</w:t>
      </w:r>
      <w:r w:rsidRPr="00BF0701">
        <w:t>c</w:t>
      </w:r>
      <w:r w:rsidRPr="00BF0701">
        <w:t xml:space="preserve">tive Digital Storytelling (pp. 269-281). </w:t>
      </w:r>
      <w:proofErr w:type="gramStart"/>
      <w:r w:rsidRPr="00BF0701">
        <w:t>“Springer International Publishing.</w:t>
      </w:r>
      <w:proofErr w:type="gramEnd"/>
    </w:p>
    <w:p w:rsidR="00BF0701" w:rsidRDefault="00BF0701" w:rsidP="000905FD">
      <w:pPr>
        <w:jc w:val="both"/>
      </w:pPr>
    </w:p>
    <w:p w:rsidR="00CD0FC2" w:rsidRDefault="00CD0FC2" w:rsidP="000905FD">
      <w:pPr>
        <w:jc w:val="both"/>
      </w:pPr>
    </w:p>
    <w:p w:rsidR="00CD0FC2" w:rsidRDefault="00CD0FC2" w:rsidP="000905FD">
      <w:pPr>
        <w:jc w:val="both"/>
      </w:pPr>
    </w:p>
    <w:p w:rsidR="00CD0FC2" w:rsidRDefault="00CD0FC2" w:rsidP="000905FD">
      <w:pPr>
        <w:jc w:val="both"/>
      </w:pPr>
    </w:p>
    <w:p w:rsidR="00CD0FC2" w:rsidRPr="00851034" w:rsidRDefault="00CD0FC2">
      <w:pPr>
        <w:pStyle w:val="Heading1"/>
      </w:pPr>
    </w:p>
    <w:sectPr w:rsidR="00CD0FC2" w:rsidRPr="00851034" w:rsidSect="00580987">
      <w:headerReference w:type="default" r:id="rId16"/>
      <w:footerReference w:type="default" r:id="rId17"/>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2D9" w:rsidRDefault="007962D9">
      <w:r>
        <w:separator/>
      </w:r>
    </w:p>
  </w:endnote>
  <w:endnote w:type="continuationSeparator" w:id="0">
    <w:p w:rsidR="007962D9" w:rsidRDefault="007962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FC789D">
      <w:rPr>
        <w:i/>
        <w:sz w:val="18"/>
        <w:szCs w:val="18"/>
      </w:rPr>
      <w:t xml:space="preserve"> Paper No. </w:t>
    </w:r>
    <w:proofErr w:type="gramStart"/>
    <w:r w:rsidR="00FC789D">
      <w:rPr>
        <w:i/>
        <w:sz w:val="18"/>
        <w:szCs w:val="18"/>
      </w:rPr>
      <w:t xml:space="preserve">56 </w:t>
    </w:r>
    <w:r w:rsidR="000A1DE4">
      <w:rPr>
        <w:i/>
        <w:sz w:val="18"/>
        <w:szCs w:val="18"/>
      </w:rPr>
      <w:t xml:space="preserve"> </w:t>
    </w:r>
    <w:r w:rsidR="000A1DE4">
      <w:rPr>
        <w:i/>
        <w:snapToGrid w:val="0"/>
        <w:sz w:val="18"/>
        <w:szCs w:val="18"/>
      </w:rPr>
      <w:t>Page</w:t>
    </w:r>
    <w:proofErr w:type="gramEnd"/>
    <w:r w:rsidR="000A1DE4">
      <w:rPr>
        <w:i/>
        <w:snapToGrid w:val="0"/>
        <w:sz w:val="18"/>
        <w:szCs w:val="18"/>
      </w:rPr>
      <w:t xml:space="preserve"> </w:t>
    </w:r>
    <w:r w:rsidR="003C6343">
      <w:rPr>
        <w:i/>
        <w:snapToGrid w:val="0"/>
        <w:sz w:val="18"/>
        <w:szCs w:val="18"/>
      </w:rPr>
      <w:fldChar w:fldCharType="begin"/>
    </w:r>
    <w:r w:rsidR="000A1DE4">
      <w:rPr>
        <w:i/>
        <w:snapToGrid w:val="0"/>
        <w:sz w:val="18"/>
        <w:szCs w:val="18"/>
      </w:rPr>
      <w:instrText xml:space="preserve"> PAGE </w:instrText>
    </w:r>
    <w:r w:rsidR="003C6343">
      <w:rPr>
        <w:i/>
        <w:snapToGrid w:val="0"/>
        <w:sz w:val="18"/>
        <w:szCs w:val="18"/>
      </w:rPr>
      <w:fldChar w:fldCharType="separate"/>
    </w:r>
    <w:r w:rsidR="0016391F">
      <w:rPr>
        <w:i/>
        <w:noProof/>
        <w:snapToGrid w:val="0"/>
        <w:sz w:val="18"/>
        <w:szCs w:val="18"/>
      </w:rPr>
      <w:t>1</w:t>
    </w:r>
    <w:r w:rsidR="003C6343">
      <w:rPr>
        <w:i/>
        <w:snapToGrid w:val="0"/>
        <w:sz w:val="18"/>
        <w:szCs w:val="18"/>
      </w:rPr>
      <w:fldChar w:fldCharType="end"/>
    </w:r>
    <w:r w:rsidR="000A1DE4">
      <w:rPr>
        <w:i/>
        <w:snapToGrid w:val="0"/>
        <w:sz w:val="18"/>
        <w:szCs w:val="18"/>
      </w:rPr>
      <w:t xml:space="preserve"> of </w:t>
    </w:r>
    <w:r w:rsidR="003C6343">
      <w:rPr>
        <w:i/>
        <w:snapToGrid w:val="0"/>
        <w:sz w:val="18"/>
        <w:szCs w:val="18"/>
      </w:rPr>
      <w:fldChar w:fldCharType="begin"/>
    </w:r>
    <w:r w:rsidR="000A1DE4">
      <w:rPr>
        <w:i/>
        <w:snapToGrid w:val="0"/>
        <w:sz w:val="18"/>
        <w:szCs w:val="18"/>
      </w:rPr>
      <w:instrText xml:space="preserve"> NUMPAGES </w:instrText>
    </w:r>
    <w:r w:rsidR="003C6343">
      <w:rPr>
        <w:i/>
        <w:snapToGrid w:val="0"/>
        <w:sz w:val="18"/>
        <w:szCs w:val="18"/>
      </w:rPr>
      <w:fldChar w:fldCharType="separate"/>
    </w:r>
    <w:r w:rsidR="0016391F">
      <w:rPr>
        <w:i/>
        <w:noProof/>
        <w:snapToGrid w:val="0"/>
        <w:sz w:val="18"/>
        <w:szCs w:val="18"/>
      </w:rPr>
      <w:t>6</w:t>
    </w:r>
    <w:r w:rsidR="003C6343">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2D9" w:rsidRDefault="007962D9">
      <w:r>
        <w:separator/>
      </w:r>
    </w:p>
  </w:footnote>
  <w:footnote w:type="continuationSeparator" w:id="0">
    <w:p w:rsidR="007962D9" w:rsidRDefault="007962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sidR="00FC789D">
      <w:rPr>
        <w:i/>
        <w:iCs/>
        <w:sz w:val="18"/>
      </w:rPr>
      <w:t xml:space="preserve"> World </w:t>
    </w:r>
    <w:r>
      <w:rPr>
        <w:i/>
        <w:iCs/>
        <w:sz w:val="18"/>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20"/>
  </w:num>
  <w:num w:numId="4">
    <w:abstractNumId w:val="14"/>
  </w:num>
  <w:num w:numId="5">
    <w:abstractNumId w:val="16"/>
  </w:num>
  <w:num w:numId="6">
    <w:abstractNumId w:val="12"/>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1"/>
  </w:num>
  <w:num w:numId="20">
    <w:abstractNumId w:val="13"/>
  </w:num>
  <w:num w:numId="21">
    <w:abstractNumId w:val="15"/>
  </w:num>
  <w:num w:numId="22">
    <w:abstractNumId w:val="17"/>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16738"/>
  </w:hdrShapeDefaults>
  <w:footnotePr>
    <w:footnote w:id="-1"/>
    <w:footnote w:id="0"/>
  </w:footnotePr>
  <w:endnotePr>
    <w:endnote w:id="-1"/>
    <w:endnote w:id="0"/>
  </w:endnotePr>
  <w:compat/>
  <w:rsids>
    <w:rsidRoot w:val="00960E20"/>
    <w:rsid w:val="00000E15"/>
    <w:rsid w:val="00001B2B"/>
    <w:rsid w:val="00007D0E"/>
    <w:rsid w:val="00012374"/>
    <w:rsid w:val="00013DF9"/>
    <w:rsid w:val="000228CB"/>
    <w:rsid w:val="0002582F"/>
    <w:rsid w:val="00036301"/>
    <w:rsid w:val="000413D5"/>
    <w:rsid w:val="000477E1"/>
    <w:rsid w:val="0005593A"/>
    <w:rsid w:val="0005739D"/>
    <w:rsid w:val="000612C8"/>
    <w:rsid w:val="00065002"/>
    <w:rsid w:val="00066D00"/>
    <w:rsid w:val="00066D1A"/>
    <w:rsid w:val="00070559"/>
    <w:rsid w:val="00074940"/>
    <w:rsid w:val="00075DB3"/>
    <w:rsid w:val="00087D35"/>
    <w:rsid w:val="000905FD"/>
    <w:rsid w:val="000A1DE4"/>
    <w:rsid w:val="000A767C"/>
    <w:rsid w:val="000C1C99"/>
    <w:rsid w:val="000C4F68"/>
    <w:rsid w:val="000D1496"/>
    <w:rsid w:val="000D660B"/>
    <w:rsid w:val="000F3D8C"/>
    <w:rsid w:val="000F49D9"/>
    <w:rsid w:val="000F62D1"/>
    <w:rsid w:val="00114BAC"/>
    <w:rsid w:val="00141C34"/>
    <w:rsid w:val="001424C9"/>
    <w:rsid w:val="00143ED5"/>
    <w:rsid w:val="00146BCC"/>
    <w:rsid w:val="00150BC4"/>
    <w:rsid w:val="001546C7"/>
    <w:rsid w:val="0016229C"/>
    <w:rsid w:val="0016391F"/>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912CD"/>
    <w:rsid w:val="002A26A2"/>
    <w:rsid w:val="002A7A5D"/>
    <w:rsid w:val="002A7BBB"/>
    <w:rsid w:val="002B0F45"/>
    <w:rsid w:val="002B226E"/>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C6343"/>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10F4"/>
    <w:rsid w:val="004F5761"/>
    <w:rsid w:val="004F60D7"/>
    <w:rsid w:val="0051280E"/>
    <w:rsid w:val="00514745"/>
    <w:rsid w:val="005152B1"/>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36C29"/>
    <w:rsid w:val="00643337"/>
    <w:rsid w:val="00646A17"/>
    <w:rsid w:val="00647950"/>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47E1"/>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962D9"/>
    <w:rsid w:val="007A5312"/>
    <w:rsid w:val="007C1C8F"/>
    <w:rsid w:val="007C263F"/>
    <w:rsid w:val="007C606B"/>
    <w:rsid w:val="007D3F33"/>
    <w:rsid w:val="007D653E"/>
    <w:rsid w:val="007E2964"/>
    <w:rsid w:val="007E4DC6"/>
    <w:rsid w:val="007E4F2F"/>
    <w:rsid w:val="007E65E5"/>
    <w:rsid w:val="007F44C6"/>
    <w:rsid w:val="007F7393"/>
    <w:rsid w:val="008070F5"/>
    <w:rsid w:val="00810C67"/>
    <w:rsid w:val="008116E6"/>
    <w:rsid w:val="00827673"/>
    <w:rsid w:val="008369E8"/>
    <w:rsid w:val="00843927"/>
    <w:rsid w:val="00850E24"/>
    <w:rsid w:val="0085103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14C3"/>
    <w:rsid w:val="00A354E0"/>
    <w:rsid w:val="00A4442B"/>
    <w:rsid w:val="00A50643"/>
    <w:rsid w:val="00A512E9"/>
    <w:rsid w:val="00A54CD5"/>
    <w:rsid w:val="00A566D5"/>
    <w:rsid w:val="00A57CF2"/>
    <w:rsid w:val="00A62146"/>
    <w:rsid w:val="00A649C5"/>
    <w:rsid w:val="00A7039A"/>
    <w:rsid w:val="00A84D10"/>
    <w:rsid w:val="00A96B5A"/>
    <w:rsid w:val="00AA07F5"/>
    <w:rsid w:val="00AB3A67"/>
    <w:rsid w:val="00AD0B21"/>
    <w:rsid w:val="00AD1282"/>
    <w:rsid w:val="00AD2D9D"/>
    <w:rsid w:val="00AD4CCD"/>
    <w:rsid w:val="00AE4823"/>
    <w:rsid w:val="00AF1BD9"/>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0BEA"/>
    <w:rsid w:val="00B95E43"/>
    <w:rsid w:val="00BA1528"/>
    <w:rsid w:val="00BA3A6D"/>
    <w:rsid w:val="00BA6301"/>
    <w:rsid w:val="00BA7D6F"/>
    <w:rsid w:val="00BB00A3"/>
    <w:rsid w:val="00BB2066"/>
    <w:rsid w:val="00BC1CCF"/>
    <w:rsid w:val="00BC2595"/>
    <w:rsid w:val="00BC4002"/>
    <w:rsid w:val="00BD293C"/>
    <w:rsid w:val="00BE0D1E"/>
    <w:rsid w:val="00BE23B6"/>
    <w:rsid w:val="00BF0701"/>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9057B"/>
    <w:rsid w:val="00CA31B4"/>
    <w:rsid w:val="00CA4571"/>
    <w:rsid w:val="00CA69E8"/>
    <w:rsid w:val="00CC0272"/>
    <w:rsid w:val="00CD01F7"/>
    <w:rsid w:val="00CD0FC2"/>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1647"/>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6741F"/>
    <w:rsid w:val="00E72BF5"/>
    <w:rsid w:val="00E73C32"/>
    <w:rsid w:val="00E92D1E"/>
    <w:rsid w:val="00EA3E65"/>
    <w:rsid w:val="00EB03F4"/>
    <w:rsid w:val="00EB0F97"/>
    <w:rsid w:val="00EC3FBB"/>
    <w:rsid w:val="00EE3DEC"/>
    <w:rsid w:val="00EF6333"/>
    <w:rsid w:val="00EF78A2"/>
    <w:rsid w:val="00F01C00"/>
    <w:rsid w:val="00F12494"/>
    <w:rsid w:val="00F16A87"/>
    <w:rsid w:val="00F212E2"/>
    <w:rsid w:val="00F22FD6"/>
    <w:rsid w:val="00F257E1"/>
    <w:rsid w:val="00F40242"/>
    <w:rsid w:val="00F438C6"/>
    <w:rsid w:val="00F44B0C"/>
    <w:rsid w:val="00F51A55"/>
    <w:rsid w:val="00F52D45"/>
    <w:rsid w:val="00F6583D"/>
    <w:rsid w:val="00F71E73"/>
    <w:rsid w:val="00F77C36"/>
    <w:rsid w:val="00F937D4"/>
    <w:rsid w:val="00FB7893"/>
    <w:rsid w:val="00FC39A4"/>
    <w:rsid w:val="00FC789D"/>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6BAFDE1-39BE-4CB4-A543-EA47EACCB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5</TotalTime>
  <Pages>6</Pages>
  <Words>2729</Words>
  <Characters>15560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18253</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2017-05-06T13:51:00Z</cp:lastPrinted>
  <dcterms:created xsi:type="dcterms:W3CDTF">2018-01-15T19:04:00Z</dcterms:created>
  <dcterms:modified xsi:type="dcterms:W3CDTF">2018-01-15T19:09:00Z</dcterms:modified>
</cp:coreProperties>
</file>