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B90BEA" w:rsidP="00B90BEA">
      <w:pPr>
        <w:jc w:val="center"/>
        <w:rPr>
          <w:b/>
          <w:sz w:val="28"/>
        </w:rPr>
      </w:pPr>
      <w:r>
        <w:rPr>
          <w:b/>
          <w:sz w:val="28"/>
        </w:rPr>
        <w:t>System Engineering</w:t>
      </w:r>
      <w:r w:rsidR="007500A3" w:rsidRPr="00526F7B">
        <w:rPr>
          <w:b/>
          <w:sz w:val="28"/>
        </w:rPr>
        <w:t>:</w:t>
      </w:r>
      <w:r w:rsidR="00EA3E65" w:rsidRPr="00526F7B">
        <w:rPr>
          <w:b/>
          <w:sz w:val="28"/>
        </w:rPr>
        <w:t xml:space="preserve"> </w:t>
      </w:r>
      <w:r w:rsidR="00E62D04" w:rsidRPr="00526F7B">
        <w:rPr>
          <w:b/>
          <w:sz w:val="28"/>
        </w:rPr>
        <w:br/>
      </w:r>
      <w:r w:rsidR="00FC39A4">
        <w:rPr>
          <w:b/>
          <w:sz w:val="28"/>
        </w:rPr>
        <w:t xml:space="preserve">Optimizing Creation of Conversational </w:t>
      </w:r>
      <w:r>
        <w:rPr>
          <w:b/>
          <w:sz w:val="28"/>
        </w:rPr>
        <w:t>Virtual Human</w:t>
      </w:r>
      <w:r w:rsidR="00FC39A4">
        <w:rPr>
          <w:b/>
          <w:sz w:val="28"/>
        </w:rPr>
        <w:t xml:space="preserve"> Avatars</w:t>
      </w:r>
      <w:r w:rsidR="007822A2">
        <w:rPr>
          <w:b/>
          <w:sz w:val="28"/>
        </w:rPr>
        <w:t xml:space="preserve"> </w:t>
      </w:r>
    </w:p>
    <w:p w:rsidR="007E2964" w:rsidRPr="00526F7B" w:rsidRDefault="007E2964" w:rsidP="00EA3E65">
      <w:pPr>
        <w:pStyle w:val="Heading1"/>
      </w:pPr>
    </w:p>
    <w:p w:rsidR="007E2964" w:rsidRPr="00526F7B" w:rsidRDefault="007E2964" w:rsidP="00EA3E65">
      <w:pPr>
        <w:pStyle w:val="Heading1"/>
      </w:pPr>
    </w:p>
    <w:tbl>
      <w:tblPr>
        <w:tblW w:w="7853" w:type="dxa"/>
        <w:jc w:val="center"/>
        <w:tblInd w:w="-1675" w:type="dxa"/>
        <w:tblLook w:val="0000"/>
      </w:tblPr>
      <w:tblGrid>
        <w:gridCol w:w="3542"/>
        <w:gridCol w:w="4311"/>
      </w:tblGrid>
      <w:tr w:rsidR="00C5408A" w:rsidRPr="00F05952" w:rsidTr="00C5408A">
        <w:trPr>
          <w:trHeight w:hRule="exact" w:val="273"/>
          <w:jc w:val="center"/>
        </w:trPr>
        <w:tc>
          <w:tcPr>
            <w:tcW w:w="3542" w:type="dxa"/>
          </w:tcPr>
          <w:p w:rsidR="00C5408A" w:rsidRPr="00F05952" w:rsidRDefault="00C5408A" w:rsidP="001F7B5F">
            <w:pPr>
              <w:jc w:val="center"/>
              <w:rPr>
                <w:b/>
              </w:rPr>
            </w:pPr>
            <w:r>
              <w:rPr>
                <w:b/>
              </w:rPr>
              <w:t>Daniel P. Burns</w:t>
            </w:r>
          </w:p>
        </w:tc>
        <w:tc>
          <w:tcPr>
            <w:tcW w:w="4311" w:type="dxa"/>
          </w:tcPr>
          <w:p w:rsidR="00C5408A" w:rsidRPr="00F05952" w:rsidRDefault="00C5408A" w:rsidP="006A3E9F">
            <w:pPr>
              <w:jc w:val="center"/>
              <w:rPr>
                <w:b/>
              </w:rPr>
            </w:pPr>
            <w:r w:rsidRPr="00F05952">
              <w:rPr>
                <w:b/>
              </w:rPr>
              <w:t>Dan M. Davis</w:t>
            </w:r>
            <w:r>
              <w:rPr>
                <w:b/>
              </w:rPr>
              <w:t xml:space="preserve"> &amp; Julianne Nordhagen</w:t>
            </w:r>
          </w:p>
        </w:tc>
      </w:tr>
      <w:tr w:rsidR="00C5408A" w:rsidRPr="00F05952" w:rsidTr="00C5408A">
        <w:trPr>
          <w:trHeight w:hRule="exact" w:val="273"/>
          <w:jc w:val="center"/>
        </w:trPr>
        <w:tc>
          <w:tcPr>
            <w:tcW w:w="3542" w:type="dxa"/>
          </w:tcPr>
          <w:p w:rsidR="00C5408A" w:rsidRPr="00F05952" w:rsidRDefault="00C5408A" w:rsidP="001F7B5F">
            <w:pPr>
              <w:jc w:val="center"/>
              <w:rPr>
                <w:b/>
              </w:rPr>
            </w:pPr>
            <w:r>
              <w:rPr>
                <w:b/>
              </w:rPr>
              <w:t>Home Ports Solutions</w:t>
            </w:r>
          </w:p>
        </w:tc>
        <w:tc>
          <w:tcPr>
            <w:tcW w:w="4311" w:type="dxa"/>
          </w:tcPr>
          <w:p w:rsidR="00C5408A" w:rsidRPr="00F05952" w:rsidRDefault="00C5408A" w:rsidP="006A3E9F">
            <w:pPr>
              <w:jc w:val="center"/>
              <w:rPr>
                <w:b/>
              </w:rPr>
            </w:pPr>
            <w:r>
              <w:rPr>
                <w:b/>
              </w:rPr>
              <w:t>University of Southern California</w:t>
            </w:r>
          </w:p>
        </w:tc>
      </w:tr>
      <w:tr w:rsidR="00C5408A" w:rsidRPr="00F05952" w:rsidTr="00C5408A">
        <w:trPr>
          <w:trHeight w:hRule="exact" w:val="273"/>
          <w:jc w:val="center"/>
        </w:trPr>
        <w:tc>
          <w:tcPr>
            <w:tcW w:w="3542" w:type="dxa"/>
          </w:tcPr>
          <w:p w:rsidR="00C5408A" w:rsidRPr="00F05952" w:rsidRDefault="00C5408A" w:rsidP="001F7B5F">
            <w:pPr>
              <w:jc w:val="center"/>
              <w:rPr>
                <w:b/>
              </w:rPr>
            </w:pPr>
            <w:r>
              <w:rPr>
                <w:b/>
              </w:rPr>
              <w:t>Los Angeles, California</w:t>
            </w:r>
          </w:p>
        </w:tc>
        <w:tc>
          <w:tcPr>
            <w:tcW w:w="4311" w:type="dxa"/>
          </w:tcPr>
          <w:p w:rsidR="00C5408A" w:rsidRPr="00F05952" w:rsidRDefault="00C5408A" w:rsidP="006A3E9F">
            <w:pPr>
              <w:jc w:val="center"/>
              <w:rPr>
                <w:b/>
              </w:rPr>
            </w:pPr>
            <w:r>
              <w:rPr>
                <w:b/>
              </w:rPr>
              <w:t>Los Angeles</w:t>
            </w:r>
            <w:r w:rsidRPr="00F05952">
              <w:rPr>
                <w:b/>
              </w:rPr>
              <w:t>, California</w:t>
            </w:r>
          </w:p>
        </w:tc>
      </w:tr>
      <w:tr w:rsidR="00C5408A" w:rsidRPr="00F05952" w:rsidTr="00C5408A">
        <w:trPr>
          <w:trHeight w:hRule="exact" w:val="273"/>
          <w:jc w:val="center"/>
        </w:trPr>
        <w:tc>
          <w:tcPr>
            <w:tcW w:w="3542" w:type="dxa"/>
          </w:tcPr>
          <w:p w:rsidR="00C5408A" w:rsidRPr="00F05952" w:rsidRDefault="00C5408A" w:rsidP="001F7B5F">
            <w:pPr>
              <w:jc w:val="center"/>
              <w:rPr>
                <w:b/>
              </w:rPr>
            </w:pPr>
            <w:r w:rsidRPr="00F01C00">
              <w:rPr>
                <w:b/>
              </w:rPr>
              <w:t>daniel.p.burns@homeportsolutions.net</w:t>
            </w:r>
          </w:p>
        </w:tc>
        <w:tc>
          <w:tcPr>
            <w:tcW w:w="4311" w:type="dxa"/>
          </w:tcPr>
          <w:p w:rsidR="00C5408A" w:rsidRPr="00F05952" w:rsidRDefault="00C5408A" w:rsidP="006A3E9F">
            <w:pPr>
              <w:jc w:val="center"/>
              <w:rPr>
                <w:b/>
              </w:rPr>
            </w:pPr>
            <w:r w:rsidRPr="00FC39A4">
              <w:rPr>
                <w:b/>
              </w:rPr>
              <w:t>dmdavis@acm.org</w:t>
            </w:r>
            <w:r>
              <w:rPr>
                <w:b/>
              </w:rPr>
              <w:t xml:space="preserve"> &amp; </w:t>
            </w:r>
            <w:r w:rsidRPr="00FC39A4">
              <w:rPr>
                <w:b/>
              </w:rPr>
              <w:t>nordhage@usc.edu</w:t>
            </w:r>
          </w:p>
        </w:tc>
      </w:tr>
    </w:tbl>
    <w:p w:rsidR="00DF124F" w:rsidRDefault="00DF124F" w:rsidP="00EA3E65">
      <w:pPr>
        <w:pStyle w:val="Heading1"/>
      </w:pPr>
    </w:p>
    <w:p w:rsidR="00EA3E65" w:rsidRDefault="00EA3E65" w:rsidP="00B44E32">
      <w:pPr>
        <w:pStyle w:val="Heading1"/>
      </w:pPr>
      <w:r w:rsidRPr="00526F7B">
        <w:t>ABSTRACT</w:t>
      </w:r>
    </w:p>
    <w:p w:rsidR="00A96B5A" w:rsidRPr="00A96B5A" w:rsidRDefault="00A96B5A" w:rsidP="00A96B5A"/>
    <w:p w:rsidR="00A96B5A" w:rsidRDefault="00C5408A" w:rsidP="00C5408A">
      <w:pPr>
        <w:jc w:val="both"/>
      </w:pPr>
      <w:r w:rsidRPr="00C5408A">
        <w:rPr>
          <w:iCs/>
        </w:rPr>
        <w:t>Many defense organizations</w:t>
      </w:r>
      <w:r w:rsidR="008F6DCA">
        <w:rPr>
          <w:iCs/>
        </w:rPr>
        <w:t xml:space="preserve"> report pressure to replace or </w:t>
      </w:r>
      <w:r w:rsidRPr="00C5408A">
        <w:rPr>
          <w:iCs/>
        </w:rPr>
        <w:t xml:space="preserve">augment scarce, </w:t>
      </w:r>
      <w:r w:rsidR="00FC789D" w:rsidRPr="00C5408A">
        <w:rPr>
          <w:iCs/>
        </w:rPr>
        <w:t>expensive</w:t>
      </w:r>
      <w:r w:rsidRPr="00C5408A">
        <w:rPr>
          <w:iCs/>
        </w:rPr>
        <w:t xml:space="preserve"> and schedule-constrained pe</w:t>
      </w:r>
      <w:r w:rsidRPr="00C5408A">
        <w:rPr>
          <w:iCs/>
        </w:rPr>
        <w:t>r</w:t>
      </w:r>
      <w:r w:rsidRPr="00C5408A">
        <w:rPr>
          <w:iCs/>
        </w:rPr>
        <w:t xml:space="preserve">sonnel who are needed to </w:t>
      </w:r>
      <w:r w:rsidR="005654D2">
        <w:rPr>
          <w:iCs/>
        </w:rPr>
        <w:t>counsel personnel</w:t>
      </w:r>
      <w:r w:rsidRPr="00C5408A">
        <w:rPr>
          <w:iCs/>
        </w:rPr>
        <w:t>. One method that has demonstrable capability and has found utility is the use of conversational, computer-directed avatars</w:t>
      </w:r>
      <w:r w:rsidR="005654D2">
        <w:rPr>
          <w:iCs/>
        </w:rPr>
        <w:t>. These</w:t>
      </w:r>
      <w:r w:rsidRPr="00C5408A">
        <w:rPr>
          <w:iCs/>
        </w:rPr>
        <w:t xml:space="preserve"> can respond smoothly to a </w:t>
      </w:r>
      <w:r w:rsidR="005654D2">
        <w:rPr>
          <w:iCs/>
        </w:rPr>
        <w:t>predetermined</w:t>
      </w:r>
      <w:r w:rsidRPr="00C5408A">
        <w:rPr>
          <w:iCs/>
        </w:rPr>
        <w:t xml:space="preserve"> list of germane questions. These avatars can be either animated or live (via a large number of video clips). Early research and deve</w:t>
      </w:r>
      <w:r w:rsidRPr="00C5408A">
        <w:rPr>
          <w:iCs/>
        </w:rPr>
        <w:t>l</w:t>
      </w:r>
      <w:r w:rsidRPr="00C5408A">
        <w:rPr>
          <w:iCs/>
        </w:rPr>
        <w:t>opment has focused on “hand crafting” question lists, paraphrases, recording scripts, utterances, transcriptions, video editing, validation, testing, and updating. The administrative burden of all of this has begun to overshadow the scie</w:t>
      </w:r>
      <w:r w:rsidRPr="00C5408A">
        <w:rPr>
          <w:iCs/>
        </w:rPr>
        <w:t>n</w:t>
      </w:r>
      <w:r w:rsidRPr="00C5408A">
        <w:rPr>
          <w:iCs/>
        </w:rPr>
        <w:t xml:space="preserve">tific and technical research effort. As this virtual human capability </w:t>
      </w:r>
      <w:r w:rsidR="005654D2">
        <w:rPr>
          <w:iCs/>
        </w:rPr>
        <w:t>becomes more</w:t>
      </w:r>
      <w:r w:rsidRPr="00C5408A">
        <w:rPr>
          <w:iCs/>
        </w:rPr>
        <w:t xml:space="preserve"> ac</w:t>
      </w:r>
      <w:r w:rsidR="005654D2">
        <w:rPr>
          <w:iCs/>
        </w:rPr>
        <w:t>ceptable</w:t>
      </w:r>
      <w:r w:rsidRPr="00C5408A">
        <w:rPr>
          <w:iCs/>
        </w:rPr>
        <w:t xml:space="preserve"> and </w:t>
      </w:r>
      <w:r w:rsidR="005654D2">
        <w:rPr>
          <w:iCs/>
        </w:rPr>
        <w:t>widely</w:t>
      </w:r>
      <w:r w:rsidRPr="00C5408A">
        <w:rPr>
          <w:iCs/>
        </w:rPr>
        <w:t xml:space="preserve"> implemen</w:t>
      </w:r>
      <w:r w:rsidRPr="00C5408A">
        <w:rPr>
          <w:iCs/>
        </w:rPr>
        <w:t>t</w:t>
      </w:r>
      <w:r w:rsidR="005654D2">
        <w:rPr>
          <w:iCs/>
        </w:rPr>
        <w:t>ed</w:t>
      </w:r>
      <w:r w:rsidRPr="00C5408A">
        <w:rPr>
          <w:iCs/>
        </w:rPr>
        <w:t xml:space="preserve">, the skills of system engineering are seen as </w:t>
      </w:r>
      <w:r w:rsidR="005654D2">
        <w:rPr>
          <w:iCs/>
        </w:rPr>
        <w:t xml:space="preserve">potential </w:t>
      </w:r>
      <w:r w:rsidRPr="00C5408A">
        <w:rPr>
          <w:iCs/>
        </w:rPr>
        <w:t>facilitators for optimizing the production process. This p</w:t>
      </w:r>
      <w:r w:rsidRPr="00C5408A">
        <w:rPr>
          <w:iCs/>
        </w:rPr>
        <w:t>a</w:t>
      </w:r>
      <w:r w:rsidRPr="00C5408A">
        <w:rPr>
          <w:iCs/>
        </w:rPr>
        <w:t xml:space="preserve">per addresses early experience with </w:t>
      </w:r>
      <w:r w:rsidR="005654D2">
        <w:rPr>
          <w:iCs/>
        </w:rPr>
        <w:t>enhancing</w:t>
      </w:r>
      <w:r w:rsidRPr="00C5408A">
        <w:rPr>
          <w:iCs/>
        </w:rPr>
        <w:t xml:space="preserve"> an on-going project </w:t>
      </w:r>
      <w:r w:rsidR="005654D2">
        <w:rPr>
          <w:iCs/>
        </w:rPr>
        <w:t>via</w:t>
      </w:r>
      <w:r w:rsidRPr="00C5408A">
        <w:rPr>
          <w:iCs/>
        </w:rPr>
        <w:t xml:space="preserve"> system engineering</w:t>
      </w:r>
      <w:r w:rsidR="005654D2">
        <w:rPr>
          <w:iCs/>
        </w:rPr>
        <w:t>. These</w:t>
      </w:r>
      <w:r w:rsidRPr="00C5408A">
        <w:rPr>
          <w:iCs/>
        </w:rPr>
        <w:t xml:space="preserve"> analyses </w:t>
      </w:r>
      <w:r w:rsidR="005654D2">
        <w:rPr>
          <w:iCs/>
        </w:rPr>
        <w:t>should</w:t>
      </w:r>
      <w:r w:rsidRPr="00C5408A">
        <w:rPr>
          <w:iCs/>
        </w:rPr>
        <w:t xml:space="preserve"> make the adoption of these avatars more practical and economical. The authors discuss the use of the V-Model and other system engineering tools in a way that should enable other researchers to understand what can be expected of such an approach to computer-generated virtual humans. These management tools and techniques provide a real opportunity</w:t>
      </w:r>
      <w:r w:rsidR="005654D2" w:rsidRPr="00C5408A">
        <w:rPr>
          <w:iCs/>
        </w:rPr>
        <w:t xml:space="preserve"> in the </w:t>
      </w:r>
      <w:proofErr w:type="gramStart"/>
      <w:r w:rsidR="005654D2" w:rsidRPr="00C5408A">
        <w:rPr>
          <w:iCs/>
        </w:rPr>
        <w:t>DoD</w:t>
      </w:r>
      <w:proofErr w:type="gramEnd"/>
      <w:r w:rsidRPr="00C5408A">
        <w:rPr>
          <w:iCs/>
        </w:rPr>
        <w:t xml:space="preserve"> to make manifest the early successes demonstrated in research settings. Optimizing just the transcription phase would save significant amounts of implementation time. The paper then lays out both early r</w:t>
      </w:r>
      <w:r w:rsidRPr="00C5408A">
        <w:rPr>
          <w:iCs/>
        </w:rPr>
        <w:t>e</w:t>
      </w:r>
      <w:r w:rsidRPr="00C5408A">
        <w:rPr>
          <w:iCs/>
        </w:rPr>
        <w:t>sults and suggests future paths for research and use.</w:t>
      </w:r>
    </w:p>
    <w:p w:rsidR="000F62D1" w:rsidRPr="00A96B5A" w:rsidRDefault="000F62D1" w:rsidP="00A96B5A"/>
    <w:p w:rsidR="00EA3E65" w:rsidRPr="00526F7B" w:rsidRDefault="00EA3E65" w:rsidP="00EA3E65">
      <w:pPr>
        <w:pStyle w:val="Heading1"/>
      </w:pPr>
      <w:r w:rsidRPr="00526F7B">
        <w:t>ABOUT THE AUTHORS</w:t>
      </w:r>
    </w:p>
    <w:p w:rsidR="00A96B5A" w:rsidRPr="00C5408A" w:rsidRDefault="00C5408A" w:rsidP="00A96B5A">
      <w:pPr>
        <w:spacing w:before="120"/>
        <w:jc w:val="both"/>
        <w:rPr>
          <w:bCs/>
        </w:rPr>
      </w:pPr>
      <w:r w:rsidRPr="00C5408A">
        <w:rPr>
          <w:b/>
          <w:bCs/>
        </w:rPr>
        <w:t>Daniel P. Burns</w:t>
      </w:r>
      <w:r w:rsidRPr="00C5408A">
        <w:rPr>
          <w:bCs/>
        </w:rPr>
        <w:t xml:space="preserve"> is a lifelong Systems Engineer, first with the Active Duty Navy, then SAIC, and small business. He served as Naval Chair and Professor of Practice in Systems Engineering at the Naval Postgraduate School (NPS).  Captain Burns served as the as the Military Associate Dean and as acting Dean of the Graduate School of Enginee</w:t>
      </w:r>
      <w:r w:rsidRPr="00C5408A">
        <w:rPr>
          <w:bCs/>
        </w:rPr>
        <w:t>r</w:t>
      </w:r>
      <w:r w:rsidRPr="00C5408A">
        <w:rPr>
          <w:bCs/>
        </w:rPr>
        <w:t xml:space="preserve">ing and Applied Sciences at NPS. His research interests center on analyses of both human and resource utilization in defense efforts.  </w:t>
      </w:r>
      <w:r>
        <w:rPr>
          <w:bCs/>
        </w:rPr>
        <w:t>Currently he is participating in the creation of a new program for Air Force Officers who seek pos</w:t>
      </w:r>
      <w:r>
        <w:rPr>
          <w:bCs/>
        </w:rPr>
        <w:t>t</w:t>
      </w:r>
      <w:r>
        <w:rPr>
          <w:bCs/>
        </w:rPr>
        <w:t xml:space="preserve">graduate degrees. </w:t>
      </w:r>
      <w:r w:rsidRPr="00C5408A">
        <w:rPr>
          <w:bCs/>
        </w:rPr>
        <w:t xml:space="preserve">Captain Burns received a BS degree from the U.S. Naval Academy and an MS from the Naval Postgraduate School.  He is currently finishing his dissertation for a Ph.D. from </w:t>
      </w:r>
      <w:r>
        <w:rPr>
          <w:bCs/>
        </w:rPr>
        <w:t>Portland State</w:t>
      </w:r>
      <w:r w:rsidRPr="00C5408A">
        <w:rPr>
          <w:bCs/>
        </w:rPr>
        <w:t xml:space="preserve"> University.</w:t>
      </w:r>
    </w:p>
    <w:p w:rsidR="00074940" w:rsidRDefault="00EA3E65" w:rsidP="00B44E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526F7B">
        <w:rPr>
          <w:b/>
          <w:bCs/>
        </w:rPr>
        <w:t>Dan M. Davis</w:t>
      </w:r>
      <w:r w:rsidR="008E6450">
        <w:rPr>
          <w:bCs/>
        </w:rPr>
        <w:t xml:space="preserve"> is a consultant for the</w:t>
      </w:r>
      <w:r w:rsidRPr="00526F7B">
        <w:rPr>
          <w:bCs/>
        </w:rPr>
        <w:t xml:space="preserve"> University of Southern California, focusing on large-scale distributed </w:t>
      </w:r>
      <w:proofErr w:type="gramStart"/>
      <w:r w:rsidRPr="00526F7B">
        <w:rPr>
          <w:bCs/>
        </w:rPr>
        <w:t>DoD</w:t>
      </w:r>
      <w:proofErr w:type="gramEnd"/>
      <w:r w:rsidRPr="00526F7B">
        <w:rPr>
          <w:bCs/>
        </w:rPr>
        <w:t xml:space="preserve"> simulations</w:t>
      </w:r>
      <w:r w:rsidR="002E0771">
        <w:rPr>
          <w:bCs/>
        </w:rPr>
        <w:t>. Pr</w:t>
      </w:r>
      <w:r w:rsidR="00911C41" w:rsidRPr="00526F7B">
        <w:rPr>
          <w:bCs/>
        </w:rPr>
        <w:t>e</w:t>
      </w:r>
      <w:r w:rsidR="002E0771">
        <w:rPr>
          <w:bCs/>
        </w:rPr>
        <w:t>-retirement,</w:t>
      </w:r>
      <w:r w:rsidR="00911C41" w:rsidRPr="00526F7B">
        <w:rPr>
          <w:bCs/>
        </w:rPr>
        <w:t xml:space="preserve"> </w:t>
      </w:r>
      <w:r w:rsidR="008E6450" w:rsidRPr="00526F7B">
        <w:rPr>
          <w:bCs/>
        </w:rPr>
        <w:t>for a decade</w:t>
      </w:r>
      <w:r w:rsidR="008E6450">
        <w:rPr>
          <w:bCs/>
        </w:rPr>
        <w:t xml:space="preserve"> </w:t>
      </w:r>
      <w:r w:rsidR="002E0771">
        <w:rPr>
          <w:bCs/>
        </w:rPr>
        <w:t xml:space="preserve">he </w:t>
      </w:r>
      <w:r w:rsidR="008E6450">
        <w:rPr>
          <w:bCs/>
        </w:rPr>
        <w:t>was the Director of</w:t>
      </w:r>
      <w:r w:rsidRPr="00526F7B">
        <w:rPr>
          <w:bCs/>
        </w:rPr>
        <w:t xml:space="preserve"> </w:t>
      </w:r>
      <w:r w:rsidR="002E0771">
        <w:rPr>
          <w:bCs/>
        </w:rPr>
        <w:t>USC’s</w:t>
      </w:r>
      <w:r w:rsidRPr="00526F7B">
        <w:rPr>
          <w:bCs/>
        </w:rPr>
        <w:t xml:space="preserve"> JESPP project </w:t>
      </w:r>
      <w:r w:rsidR="002E0771">
        <w:rPr>
          <w:bCs/>
        </w:rPr>
        <w:t>for</w:t>
      </w:r>
      <w:r w:rsidR="00911C41" w:rsidRPr="00526F7B">
        <w:rPr>
          <w:bCs/>
        </w:rPr>
        <w:t xml:space="preserve"> JFCOM</w:t>
      </w:r>
      <w:r w:rsidRPr="00526F7B">
        <w:rPr>
          <w:bCs/>
        </w:rPr>
        <w:t>. As the Assistant Director of the Center for Advanced Computing Research at Caltech, he managed Synthetic Forces Express, brin</w:t>
      </w:r>
      <w:r w:rsidRPr="00526F7B">
        <w:rPr>
          <w:bCs/>
        </w:rPr>
        <w:t>g</w:t>
      </w:r>
      <w:r w:rsidRPr="00526F7B">
        <w:rPr>
          <w:bCs/>
        </w:rPr>
        <w:t>ing HPC to DoD simulations. Prior experience includes serving as a Director at the Maui High Performance Comp</w:t>
      </w:r>
      <w:r w:rsidRPr="00526F7B">
        <w:rPr>
          <w:bCs/>
        </w:rPr>
        <w:t>u</w:t>
      </w:r>
      <w:r w:rsidRPr="00526F7B">
        <w:rPr>
          <w:bCs/>
        </w:rPr>
        <w:t xml:space="preserve">ting Center and as a Software Engineer at the Jet Propulsion Laboratory and Martin Marietta. He has served as the Chairman of the Coalition of Academic Supercomputing Centers and has taught at the undergraduate and graduate levels. </w:t>
      </w:r>
      <w:r w:rsidR="00956E5D" w:rsidRPr="00526F7B">
        <w:rPr>
          <w:bCs/>
        </w:rPr>
        <w:t xml:space="preserve">As early as 1971, </w:t>
      </w:r>
      <w:r w:rsidR="004D19AD" w:rsidRPr="00526F7B">
        <w:rPr>
          <w:bCs/>
        </w:rPr>
        <w:t>Dan</w:t>
      </w:r>
      <w:r w:rsidR="006D3F05" w:rsidRPr="00526F7B">
        <w:rPr>
          <w:bCs/>
        </w:rPr>
        <w:t xml:space="preserve"> </w:t>
      </w:r>
      <w:r w:rsidR="00956E5D" w:rsidRPr="00526F7B">
        <w:rPr>
          <w:bCs/>
        </w:rPr>
        <w:t xml:space="preserve">was writing </w:t>
      </w:r>
      <w:r w:rsidR="006D3F05" w:rsidRPr="00526F7B">
        <w:rPr>
          <w:bCs/>
        </w:rPr>
        <w:t>programs in</w:t>
      </w:r>
      <w:r w:rsidR="004D19AD" w:rsidRPr="00526F7B">
        <w:rPr>
          <w:bCs/>
        </w:rPr>
        <w:t xml:space="preserve"> FORTRAN </w:t>
      </w:r>
      <w:r w:rsidR="006D3F05" w:rsidRPr="00526F7B">
        <w:rPr>
          <w:bCs/>
        </w:rPr>
        <w:t>on</w:t>
      </w:r>
      <w:r w:rsidR="004D19AD" w:rsidRPr="00526F7B">
        <w:rPr>
          <w:bCs/>
        </w:rPr>
        <w:t xml:space="preserve"> one of S</w:t>
      </w:r>
      <w:r w:rsidR="00956E5D" w:rsidRPr="00526F7B">
        <w:rPr>
          <w:bCs/>
        </w:rPr>
        <w:t>eymour Cray’s CDC 6500’s</w:t>
      </w:r>
      <w:r w:rsidR="004D19AD" w:rsidRPr="00526F7B">
        <w:rPr>
          <w:bCs/>
        </w:rPr>
        <w:t xml:space="preserve">. </w:t>
      </w:r>
      <w:r w:rsidRPr="00526F7B">
        <w:rPr>
          <w:bCs/>
        </w:rPr>
        <w:t xml:space="preserve">He saw duty in Vietnam as a USMC Cryptologist and retired as a Commander, Cryptologic Specialty, </w:t>
      </w:r>
      <w:proofErr w:type="gramStart"/>
      <w:r w:rsidRPr="00526F7B">
        <w:rPr>
          <w:bCs/>
        </w:rPr>
        <w:t>U.S.N.R</w:t>
      </w:r>
      <w:proofErr w:type="gramEnd"/>
      <w:r w:rsidRPr="00526F7B">
        <w:rPr>
          <w:bCs/>
        </w:rPr>
        <w:t>. He received B.A. and J.D. degrees from the University of Colorado in Boulder.</w:t>
      </w:r>
    </w:p>
    <w:p w:rsidR="00FC789D" w:rsidRDefault="00C5408A" w:rsidP="00FC789D">
      <w:pPr>
        <w:spacing w:before="120"/>
        <w:jc w:val="both"/>
      </w:pPr>
      <w:r w:rsidRPr="00BC4002">
        <w:rPr>
          <w:b/>
          <w:bCs/>
        </w:rPr>
        <w:t>Julianne</w:t>
      </w:r>
      <w:r w:rsidR="00074940">
        <w:rPr>
          <w:b/>
          <w:bCs/>
        </w:rPr>
        <w:t xml:space="preserve"> M.</w:t>
      </w:r>
      <w:r w:rsidRPr="00BC4002">
        <w:rPr>
          <w:b/>
          <w:bCs/>
        </w:rPr>
        <w:t xml:space="preserve"> Nordhagen</w:t>
      </w:r>
      <w:r>
        <w:rPr>
          <w:bCs/>
        </w:rPr>
        <w:t xml:space="preserve"> </w:t>
      </w:r>
      <w:r w:rsidR="00074940">
        <w:rPr>
          <w:bCs/>
        </w:rPr>
        <w:t xml:space="preserve">is an Ensign in the U.S. Navy and is attached to the NROTC unit at the University of Southern California, where she is assigned to collaborate on research at the Institute of </w:t>
      </w:r>
      <w:r w:rsidR="00074940" w:rsidRPr="00074940">
        <w:t>Creative Technologies</w:t>
      </w:r>
      <w:r w:rsidR="00FC789D">
        <w:t xml:space="preserve"> (ICT)</w:t>
      </w:r>
      <w:r w:rsidR="00074940" w:rsidRPr="00074940">
        <w:t>. As an Ind</w:t>
      </w:r>
      <w:r w:rsidR="00074940">
        <w:t>ustrial and Systems Engineering (ISE)</w:t>
      </w:r>
      <w:r w:rsidR="00074940" w:rsidRPr="00074940">
        <w:t xml:space="preserve"> undergraduate, Julianne cultivated the analytical and technical skills required for this project, including optimizing the performance of large scale systems and applying computational methods for scheduling and forecasting. She has professional experience using integrated planning software like SAP and </w:t>
      </w:r>
      <w:proofErr w:type="spellStart"/>
      <w:r w:rsidR="00074940" w:rsidRPr="00074940">
        <w:t>NetSuite</w:t>
      </w:r>
      <w:proofErr w:type="spellEnd"/>
      <w:r w:rsidR="00074940" w:rsidRPr="00074940">
        <w:t xml:space="preserve"> ERP.</w:t>
      </w:r>
      <w:r w:rsidR="00FC789D">
        <w:t xml:space="preserve"> She was selected to be one of the mentors for ICT’s Mentor PAL project for the Office of Naval Research.</w:t>
      </w:r>
      <w:r w:rsidR="00074940" w:rsidRPr="00074940">
        <w:t xml:space="preserve"> Next April, she will begin her Naval Aviator training at the Naval Air Technical Training Center in Pensacola Florida.</w:t>
      </w:r>
      <w:r w:rsidR="00074940">
        <w:t xml:space="preserve"> Ensign Nordhagen earned a</w:t>
      </w:r>
      <w:r w:rsidR="00FC789D">
        <w:t>n</w:t>
      </w:r>
      <w:r w:rsidR="00074940">
        <w:t xml:space="preserve"> </w:t>
      </w:r>
      <w:r w:rsidR="00FC789D">
        <w:t>ISE B.S.</w:t>
      </w:r>
      <w:r w:rsidR="00074940">
        <w:t xml:space="preserve"> </w:t>
      </w:r>
      <w:r w:rsidR="00074940" w:rsidRPr="00074940">
        <w:t>degree from the University of Southern California.</w:t>
      </w:r>
      <w:r w:rsidR="00FC789D">
        <w:t xml:space="preserve"> </w:t>
      </w:r>
    </w:p>
    <w:p w:rsidR="00FC789D" w:rsidRDefault="00FC789D">
      <w:r>
        <w:br w:type="page"/>
      </w:r>
    </w:p>
    <w:p w:rsidR="005152B1" w:rsidRPr="00526F7B" w:rsidRDefault="005152B1" w:rsidP="005152B1">
      <w:pPr>
        <w:jc w:val="center"/>
        <w:rPr>
          <w:b/>
          <w:sz w:val="28"/>
        </w:rPr>
      </w:pPr>
      <w:r>
        <w:rPr>
          <w:b/>
          <w:sz w:val="28"/>
        </w:rPr>
        <w:lastRenderedPageBreak/>
        <w:t>System Engineering</w:t>
      </w:r>
      <w:r w:rsidRPr="00526F7B">
        <w:rPr>
          <w:b/>
          <w:sz w:val="28"/>
        </w:rPr>
        <w:t xml:space="preserve">: </w:t>
      </w:r>
      <w:r w:rsidRPr="00526F7B">
        <w:rPr>
          <w:b/>
          <w:sz w:val="28"/>
        </w:rPr>
        <w:br/>
      </w:r>
      <w:r>
        <w:rPr>
          <w:b/>
          <w:sz w:val="28"/>
        </w:rPr>
        <w:t xml:space="preserve">Optimizing Creation of Conversational Virtual Human Avatars </w:t>
      </w:r>
    </w:p>
    <w:p w:rsidR="005152B1" w:rsidRPr="00526F7B" w:rsidRDefault="005152B1" w:rsidP="005152B1">
      <w:pPr>
        <w:pStyle w:val="Heading1"/>
      </w:pPr>
    </w:p>
    <w:p w:rsidR="005152B1" w:rsidRPr="00526F7B" w:rsidRDefault="005152B1" w:rsidP="005152B1">
      <w:pPr>
        <w:pStyle w:val="Heading1"/>
      </w:pPr>
    </w:p>
    <w:tbl>
      <w:tblPr>
        <w:tblW w:w="7853" w:type="dxa"/>
        <w:jc w:val="center"/>
        <w:tblInd w:w="-1675" w:type="dxa"/>
        <w:tblLook w:val="0000"/>
      </w:tblPr>
      <w:tblGrid>
        <w:gridCol w:w="3542"/>
        <w:gridCol w:w="4311"/>
      </w:tblGrid>
      <w:tr w:rsidR="005152B1" w:rsidRPr="00F05952" w:rsidTr="007720F0">
        <w:trPr>
          <w:trHeight w:hRule="exact" w:val="273"/>
          <w:jc w:val="center"/>
        </w:trPr>
        <w:tc>
          <w:tcPr>
            <w:tcW w:w="3542" w:type="dxa"/>
          </w:tcPr>
          <w:p w:rsidR="005152B1" w:rsidRPr="00F05952" w:rsidRDefault="005152B1" w:rsidP="007720F0">
            <w:pPr>
              <w:jc w:val="center"/>
              <w:rPr>
                <w:b/>
              </w:rPr>
            </w:pPr>
            <w:r>
              <w:rPr>
                <w:b/>
              </w:rPr>
              <w:t>Daniel P. Burns</w:t>
            </w:r>
          </w:p>
        </w:tc>
        <w:tc>
          <w:tcPr>
            <w:tcW w:w="4311" w:type="dxa"/>
          </w:tcPr>
          <w:p w:rsidR="005152B1" w:rsidRPr="00F05952" w:rsidRDefault="005152B1" w:rsidP="007720F0">
            <w:pPr>
              <w:jc w:val="center"/>
              <w:rPr>
                <w:b/>
              </w:rPr>
            </w:pPr>
            <w:r w:rsidRPr="00F05952">
              <w:rPr>
                <w:b/>
              </w:rPr>
              <w:t>Dan M. Davis</w:t>
            </w:r>
            <w:r>
              <w:rPr>
                <w:b/>
              </w:rPr>
              <w:t xml:space="preserve"> &amp; Julianne Nordhagen</w:t>
            </w:r>
          </w:p>
        </w:tc>
      </w:tr>
      <w:tr w:rsidR="005152B1" w:rsidRPr="00F05952" w:rsidTr="007720F0">
        <w:trPr>
          <w:trHeight w:hRule="exact" w:val="273"/>
          <w:jc w:val="center"/>
        </w:trPr>
        <w:tc>
          <w:tcPr>
            <w:tcW w:w="3542" w:type="dxa"/>
          </w:tcPr>
          <w:p w:rsidR="005152B1" w:rsidRPr="00F05952" w:rsidRDefault="005152B1" w:rsidP="007720F0">
            <w:pPr>
              <w:jc w:val="center"/>
              <w:rPr>
                <w:b/>
              </w:rPr>
            </w:pPr>
            <w:r>
              <w:rPr>
                <w:b/>
              </w:rPr>
              <w:t>Home Ports Solutions</w:t>
            </w:r>
          </w:p>
        </w:tc>
        <w:tc>
          <w:tcPr>
            <w:tcW w:w="4311" w:type="dxa"/>
          </w:tcPr>
          <w:p w:rsidR="005152B1" w:rsidRPr="00F05952" w:rsidRDefault="005152B1" w:rsidP="007720F0">
            <w:pPr>
              <w:jc w:val="center"/>
              <w:rPr>
                <w:b/>
              </w:rPr>
            </w:pPr>
            <w:r>
              <w:rPr>
                <w:b/>
              </w:rPr>
              <w:t>University of Southern California</w:t>
            </w:r>
          </w:p>
        </w:tc>
      </w:tr>
      <w:tr w:rsidR="005152B1" w:rsidRPr="00F05952" w:rsidTr="007720F0">
        <w:trPr>
          <w:trHeight w:hRule="exact" w:val="273"/>
          <w:jc w:val="center"/>
        </w:trPr>
        <w:tc>
          <w:tcPr>
            <w:tcW w:w="3542" w:type="dxa"/>
          </w:tcPr>
          <w:p w:rsidR="005152B1" w:rsidRPr="00F05952" w:rsidRDefault="005152B1" w:rsidP="007720F0">
            <w:pPr>
              <w:jc w:val="center"/>
              <w:rPr>
                <w:b/>
              </w:rPr>
            </w:pPr>
            <w:r>
              <w:rPr>
                <w:b/>
              </w:rPr>
              <w:t>Los Angeles, California</w:t>
            </w:r>
          </w:p>
        </w:tc>
        <w:tc>
          <w:tcPr>
            <w:tcW w:w="4311" w:type="dxa"/>
          </w:tcPr>
          <w:p w:rsidR="005152B1" w:rsidRPr="00F05952" w:rsidRDefault="005152B1" w:rsidP="007720F0">
            <w:pPr>
              <w:jc w:val="center"/>
              <w:rPr>
                <w:b/>
              </w:rPr>
            </w:pPr>
            <w:r>
              <w:rPr>
                <w:b/>
              </w:rPr>
              <w:t>Los Angeles</w:t>
            </w:r>
            <w:r w:rsidRPr="00F05952">
              <w:rPr>
                <w:b/>
              </w:rPr>
              <w:t>, California</w:t>
            </w:r>
          </w:p>
        </w:tc>
      </w:tr>
      <w:tr w:rsidR="005152B1" w:rsidRPr="00F05952" w:rsidTr="007720F0">
        <w:trPr>
          <w:trHeight w:hRule="exact" w:val="273"/>
          <w:jc w:val="center"/>
        </w:trPr>
        <w:tc>
          <w:tcPr>
            <w:tcW w:w="3542" w:type="dxa"/>
          </w:tcPr>
          <w:p w:rsidR="005152B1" w:rsidRPr="00F05952" w:rsidRDefault="005152B1" w:rsidP="007720F0">
            <w:pPr>
              <w:jc w:val="center"/>
              <w:rPr>
                <w:b/>
              </w:rPr>
            </w:pPr>
            <w:r w:rsidRPr="00F01C00">
              <w:rPr>
                <w:b/>
              </w:rPr>
              <w:t>daniel.p.burns@homeportsolutions.net</w:t>
            </w:r>
          </w:p>
        </w:tc>
        <w:tc>
          <w:tcPr>
            <w:tcW w:w="4311" w:type="dxa"/>
          </w:tcPr>
          <w:p w:rsidR="005152B1" w:rsidRPr="00F05952" w:rsidRDefault="005152B1" w:rsidP="007720F0">
            <w:pPr>
              <w:jc w:val="center"/>
              <w:rPr>
                <w:b/>
              </w:rPr>
            </w:pPr>
            <w:r w:rsidRPr="00FC39A4">
              <w:rPr>
                <w:b/>
              </w:rPr>
              <w:t>dmdavis@acm.org</w:t>
            </w:r>
            <w:r>
              <w:rPr>
                <w:b/>
              </w:rPr>
              <w:t xml:space="preserve"> &amp; </w:t>
            </w:r>
            <w:r w:rsidRPr="00FC39A4">
              <w:rPr>
                <w:b/>
              </w:rPr>
              <w:t>nordhage@usc.edu</w:t>
            </w:r>
          </w:p>
        </w:tc>
      </w:tr>
    </w:tbl>
    <w:p w:rsidR="00A96B5A" w:rsidRDefault="00A96B5A" w:rsidP="00FC789D">
      <w:pPr>
        <w:spacing w:before="120"/>
        <w:jc w:val="both"/>
        <w:rPr>
          <w:bCs/>
        </w:rPr>
      </w:pPr>
    </w:p>
    <w:p w:rsidR="00851034" w:rsidRDefault="00851034" w:rsidP="00FC789D">
      <w:pPr>
        <w:spacing w:before="120"/>
        <w:jc w:val="both"/>
        <w:rPr>
          <w:bCs/>
        </w:rPr>
      </w:pPr>
    </w:p>
    <w:p w:rsidR="005152B1" w:rsidRDefault="00851034" w:rsidP="00851034">
      <w:pPr>
        <w:pStyle w:val="Heading1"/>
      </w:pPr>
      <w:r>
        <w:t>Introduction</w:t>
      </w:r>
    </w:p>
    <w:p w:rsidR="00851034" w:rsidRDefault="00851034" w:rsidP="00851034"/>
    <w:p w:rsidR="00851034" w:rsidRDefault="00851034" w:rsidP="000905FD">
      <w:pPr>
        <w:jc w:val="both"/>
      </w:pPr>
      <w:r>
        <w:t>This paper addresses the issues surrounding the use of System Engineering (SE) techniques, tools and approaches to enhance the conduct of simulation research, specifically Virtual Human implementation.  It presents both an ove</w:t>
      </w:r>
      <w:r>
        <w:t>r</w:t>
      </w:r>
      <w:r>
        <w:t>view of SE disciplines</w:t>
      </w:r>
      <w:r w:rsidR="00BA1528">
        <w:t xml:space="preserve"> and examples of how these have been employed in a program at the Institute for Creative Technologies (ICT) of the University of Southern California which is charged with creating a Virtual Human (VH) mentor</w:t>
      </w:r>
      <w:r w:rsidR="000905FD">
        <w:t xml:space="preserve"> series</w:t>
      </w:r>
      <w:r w:rsidR="00BA1528">
        <w:t>.</w:t>
      </w:r>
      <w:r w:rsidR="000905FD">
        <w:t xml:space="preserve"> There are two major objectives: analyzing the utility of SE and providing sufficient direction to </w:t>
      </w:r>
      <w:r w:rsidR="000D660B">
        <w:t>en</w:t>
      </w:r>
      <w:r w:rsidR="000D660B">
        <w:t>a</w:t>
      </w:r>
      <w:r w:rsidR="000D660B">
        <w:t>ble others to see how to apply similar approaches to their own research projects.  There will be sufficient examples and data presented to show application techniques and indicate results that can be anticipated.</w:t>
      </w:r>
    </w:p>
    <w:p w:rsidR="000D660B" w:rsidRDefault="000D660B" w:rsidP="000905FD">
      <w:pPr>
        <w:jc w:val="both"/>
      </w:pPr>
    </w:p>
    <w:p w:rsidR="00001B2B" w:rsidRDefault="000D660B" w:rsidP="000905FD">
      <w:pPr>
        <w:jc w:val="both"/>
      </w:pPr>
      <w:r>
        <w:t xml:space="preserve">The paper is organized in four parts.  The first will be a background discussion of the advances made </w:t>
      </w:r>
      <w:r w:rsidR="00001B2B">
        <w:t>in the capabil</w:t>
      </w:r>
      <w:r w:rsidR="00001B2B">
        <w:t>i</w:t>
      </w:r>
      <w:r w:rsidR="00001B2B">
        <w:t xml:space="preserve">ties of VH technologies over the last few decades.  The second section will cover the Mentor PAL project at ICT, setting forth the project’s goals, implementation plans, early experiences, and current results.  The third section will present a brief survey of System Engineers, focusing on areas where it will intersect with VH and other simulation initiatives. The fourth section will focus on analysis of the efforts to use SE for optimization in this environment and a discussion as to future implementation opportunities and efforts. </w:t>
      </w:r>
    </w:p>
    <w:p w:rsidR="008E4B22" w:rsidRDefault="008E4B22" w:rsidP="000905FD">
      <w:pPr>
        <w:jc w:val="both"/>
      </w:pPr>
    </w:p>
    <w:p w:rsidR="008E4B22" w:rsidRDefault="009370B9" w:rsidP="000905FD">
      <w:pPr>
        <w:jc w:val="both"/>
      </w:pPr>
      <w:r>
        <w:t>As this project is still part of an active research effort at ICT, new data is being collected daily and new tools and methods are being evaluated. The results and insights from these activities will be presented in the presentation at the conference and the slides from that presentation be made available on-line after the conference.  It should be pointed out at the onset that this optimization work was not the directed focus of the project, but is an unfunded co</w:t>
      </w:r>
      <w:r>
        <w:t>n</w:t>
      </w:r>
      <w:r>
        <w:t>tribution of the staff members and of interested U.S. Naval officers, both active duty and reservists.  While the a</w:t>
      </w:r>
      <w:r>
        <w:t>u</w:t>
      </w:r>
      <w:r>
        <w:t xml:space="preserve">thors acknowledge the lack of scientific rigor that would have been possible with a funded project, they believe that valuable insights have been garnered and they think that it is their professional obligation to share the lessons they have learned with their research colleagues. </w:t>
      </w:r>
    </w:p>
    <w:p w:rsidR="00001B2B" w:rsidRDefault="00001B2B" w:rsidP="000905FD">
      <w:pPr>
        <w:jc w:val="both"/>
      </w:pPr>
    </w:p>
    <w:p w:rsidR="00001B2B" w:rsidRDefault="00001B2B" w:rsidP="00001B2B">
      <w:pPr>
        <w:pStyle w:val="Heading1"/>
      </w:pPr>
      <w:r>
        <w:t>Background</w:t>
      </w:r>
    </w:p>
    <w:p w:rsidR="00001B2B" w:rsidRDefault="00001B2B" w:rsidP="000905FD">
      <w:pPr>
        <w:jc w:val="both"/>
      </w:pPr>
    </w:p>
    <w:p w:rsidR="00CD0FC2" w:rsidRDefault="00CD0FC2" w:rsidP="00CD0FC2">
      <w:pPr>
        <w:pStyle w:val="Heading2"/>
      </w:pPr>
      <w:r>
        <w:t>Virtual Humans in the Defense Environment</w:t>
      </w:r>
    </w:p>
    <w:p w:rsidR="00CD0FC2" w:rsidRDefault="00CD0FC2" w:rsidP="00CD0FC2">
      <w:pPr>
        <w:jc w:val="both"/>
      </w:pPr>
    </w:p>
    <w:p w:rsidR="00564733" w:rsidRDefault="00674463" w:rsidP="00CD0FC2">
      <w:pPr>
        <w:jc w:val="both"/>
      </w:pPr>
      <w:r>
        <w:t>D</w:t>
      </w:r>
      <w:r w:rsidR="00564733">
        <w:t xml:space="preserve">eclining budgets, increasing operations tempos, and often under-staffed conditions continue to constrain the amount of time that experienced personnel have to train, </w:t>
      </w:r>
      <w:r w:rsidR="003A766C">
        <w:t>advise</w:t>
      </w:r>
      <w:r w:rsidR="00564733">
        <w:t xml:space="preserve"> and mentor those who follow them</w:t>
      </w:r>
      <w:r>
        <w:t xml:space="preserve"> (Gould, 2017) T</w:t>
      </w:r>
      <w:r w:rsidR="00564733">
        <w:t xml:space="preserve">hose same conditions </w:t>
      </w:r>
      <w:r w:rsidR="003A766C">
        <w:t>create an increased need for such counseling to maintain readiness, improve morale and e</w:t>
      </w:r>
      <w:r w:rsidR="003A766C">
        <w:t>n</w:t>
      </w:r>
      <w:r w:rsidR="003A766C">
        <w:t>hance retention of the Navy’s most valuable asset: the sailors and officers</w:t>
      </w:r>
      <w:r w:rsidR="007561F9">
        <w:t xml:space="preserve"> (Payne &amp; Huffman, 2005)</w:t>
      </w:r>
      <w:r w:rsidR="003A766C">
        <w:t>. The authors have observed that virtually every type of unit the Navy must face these issues. They assert that a method for stan</w:t>
      </w:r>
      <w:r w:rsidR="003A766C">
        <w:t>d</w:t>
      </w:r>
      <w:r w:rsidR="003A766C">
        <w:t>ardizing and disseminating such advice globally and at any time on any day would make such information transfer more beneficial.</w:t>
      </w:r>
    </w:p>
    <w:p w:rsidR="003A766C" w:rsidRDefault="003A766C" w:rsidP="00CD0FC2">
      <w:pPr>
        <w:jc w:val="both"/>
      </w:pPr>
    </w:p>
    <w:p w:rsidR="00CD0FC2" w:rsidRDefault="00CD0FC2" w:rsidP="00CD0FC2">
      <w:pPr>
        <w:jc w:val="both"/>
      </w:pPr>
      <w:r>
        <w:t>A virtual human is a virtual reality creation in which an avatar is created, often based on a real person, and attempts to recreate the appearance, voice, feel, and interaction that a live human would produce. With the advancement of several new technologies, including but not limited to natural language processing, virtual reality (VR), computer generated imagery (CGI), machine learning, and virtual learning, the uses, as well as the limits of virtual humans are becoming evident. As a research institute with a specialization in virtual reality programming, the Institute for Cre</w:t>
      </w:r>
      <w:r>
        <w:t>a</w:t>
      </w:r>
      <w:r>
        <w:lastRenderedPageBreak/>
        <w:t>tive Technologies (ICT) is the home of myriad simulation projects, and it considers virtual reality to be its primary focus. Researchers at ICT have generated SimCoach, New Dimensions in Testimony (NDT), PAL3, MentorPAL, and other generalized programs under learning sciences, medical VR, mixed reality, narrative storytelling, social stimulation, virtual humans, and vision and graphics. The breadth of knowledge available is significant and the use of these resources has allowed advances in the implementing of virtual humans.  The presentation to the user can take many forms, as shown in Figures 1-3 (All ICT Photos).</w:t>
      </w:r>
    </w:p>
    <w:p w:rsidR="00CD0FC2" w:rsidRDefault="00CD0FC2" w:rsidP="00CD0FC2">
      <w:pPr>
        <w:jc w:val="both"/>
      </w:pPr>
    </w:p>
    <w:p w:rsidR="00CD0FC2" w:rsidRDefault="00CD0FC2" w:rsidP="00CD0FC2">
      <w:pPr>
        <w:ind w:left="-450" w:right="-450"/>
      </w:pPr>
      <w:r>
        <w:t xml:space="preserve">     </w:t>
      </w:r>
      <w:r w:rsidR="00511585">
        <w:pict>
          <v:shapetype id="_x0000_t202" coordsize="21600,21600" o:spt="202" path="m,l,21600r21600,l21600,xe">
            <v:stroke joinstyle="miter"/>
            <v:path gradientshapeok="t" o:connecttype="rect"/>
          </v:shapetype>
          <v:shape id="_x0000_s1032" type="#_x0000_t202" style="width:157.4pt;height:152.15pt;mso-position-horizontal-relative:char;mso-position-vertical-relative:line;mso-width-relative:margin;mso-height-relative:margin" stroked="f">
            <v:textbox style="mso-next-textbox:#_x0000_s1032">
              <w:txbxContent>
                <w:p w:rsidR="00CD0FC2" w:rsidRDefault="00CD0FC2" w:rsidP="00CD0FC2">
                  <w:pPr>
                    <w:pStyle w:val="Caption"/>
                    <w:keepNext/>
                  </w:pPr>
                  <w:r w:rsidRPr="00D30BA0">
                    <w:rPr>
                      <w:noProof/>
                    </w:rPr>
                    <w:drawing>
                      <wp:inline distT="0" distB="0" distL="0" distR="0">
                        <wp:extent cx="1725602" cy="1391154"/>
                        <wp:effectExtent l="19050" t="0" r="7948" b="0"/>
                        <wp:docPr id="10"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2" cstate="screen"/>
                                <a:srcRect/>
                                <a:stretch>
                                  <a:fillRect/>
                                </a:stretch>
                              </pic:blipFill>
                              <pic:spPr>
                                <a:xfrm>
                                  <a:off x="0" y="0"/>
                                  <a:ext cx="1725797" cy="1391312"/>
                                </a:xfrm>
                                <a:prstGeom prst="rect">
                                  <a:avLst/>
                                </a:prstGeom>
                              </pic:spPr>
                            </pic:pic>
                          </a:graphicData>
                        </a:graphic>
                      </wp:inline>
                    </w:drawing>
                  </w:r>
                </w:p>
                <w:p w:rsidR="00CD0FC2" w:rsidRPr="00B61338" w:rsidRDefault="00CD0FC2" w:rsidP="00CD0FC2">
                  <w:pPr>
                    <w:pStyle w:val="Caption"/>
                    <w:spacing w:after="0"/>
                    <w:ind w:left="86"/>
                    <w:jc w:val="center"/>
                    <w:rPr>
                      <w:color w:val="auto"/>
                    </w:rPr>
                  </w:pPr>
                  <w:r w:rsidRPr="00B61338">
                    <w:rPr>
                      <w:color w:val="auto"/>
                    </w:rPr>
                    <w:t xml:space="preserve">Figure </w:t>
                  </w:r>
                  <w:r w:rsidR="00511585" w:rsidRPr="00B61338">
                    <w:rPr>
                      <w:color w:val="auto"/>
                    </w:rPr>
                    <w:fldChar w:fldCharType="begin"/>
                  </w:r>
                  <w:r w:rsidRPr="00B61338">
                    <w:rPr>
                      <w:color w:val="auto"/>
                    </w:rPr>
                    <w:instrText xml:space="preserve"> SEQ Figure \* ARABIC </w:instrText>
                  </w:r>
                  <w:r w:rsidR="00511585" w:rsidRPr="00B61338">
                    <w:rPr>
                      <w:color w:val="auto"/>
                    </w:rPr>
                    <w:fldChar w:fldCharType="separate"/>
                  </w:r>
                  <w:r w:rsidR="00BF0701">
                    <w:rPr>
                      <w:noProof/>
                      <w:color w:val="auto"/>
                    </w:rPr>
                    <w:t>1</w:t>
                  </w:r>
                  <w:r w:rsidR="00511585" w:rsidRPr="00B61338">
                    <w:rPr>
                      <w:color w:val="auto"/>
                    </w:rPr>
                    <w:fldChar w:fldCharType="end"/>
                  </w:r>
                  <w:r w:rsidRPr="00B61338">
                    <w:rPr>
                      <w:color w:val="auto"/>
                    </w:rPr>
                    <w:t xml:space="preserve"> </w:t>
                  </w:r>
                  <w:r>
                    <w:rPr>
                      <w:color w:val="auto"/>
                    </w:rPr>
                    <w:t>–</w:t>
                  </w:r>
                  <w:r w:rsidRPr="00B61338">
                    <w:rPr>
                      <w:color w:val="auto"/>
                    </w:rPr>
                    <w:t xml:space="preserve"> Video</w:t>
                  </w:r>
                  <w:r>
                    <w:rPr>
                      <w:color w:val="auto"/>
                    </w:rPr>
                    <w:t xml:space="preserve"> of NDT </w:t>
                  </w:r>
                  <w:r w:rsidRPr="00B61338">
                    <w:rPr>
                      <w:color w:val="auto"/>
                    </w:rPr>
                    <w:t>speaker</w:t>
                  </w:r>
                  <w:r w:rsidRPr="00B61338">
                    <w:rPr>
                      <w:color w:val="auto"/>
                    </w:rPr>
                    <w:br/>
                  </w:r>
                  <w:r>
                    <w:rPr>
                      <w:color w:val="auto"/>
                    </w:rPr>
                    <w:t>shown</w:t>
                  </w:r>
                  <w:r w:rsidRPr="00B61338">
                    <w:rPr>
                      <w:color w:val="auto"/>
                    </w:rPr>
                    <w:t xml:space="preserve"> in </w:t>
                  </w:r>
                  <w:r>
                    <w:rPr>
                      <w:color w:val="auto"/>
                    </w:rPr>
                    <w:t>3-D</w:t>
                  </w:r>
                  <w:r w:rsidRPr="00B61338">
                    <w:rPr>
                      <w:color w:val="auto"/>
                    </w:rPr>
                    <w:t xml:space="preserve"> holographic display</w:t>
                  </w:r>
                </w:p>
                <w:p w:rsidR="00CD0FC2" w:rsidRDefault="00CD0FC2" w:rsidP="00CD0FC2">
                  <w:pPr>
                    <w:pStyle w:val="Caption"/>
                    <w:jc w:val="center"/>
                  </w:pPr>
                </w:p>
                <w:p w:rsidR="00CD0FC2" w:rsidRDefault="00CD0FC2" w:rsidP="00CD0FC2">
                  <w:pPr>
                    <w:pStyle w:val="Caption"/>
                    <w:jc w:val="center"/>
                  </w:pPr>
                  <w:r>
                    <w:rPr>
                      <w:color w:val="auto"/>
                    </w:rPr>
                    <w:t xml:space="preserve">  </w:t>
                  </w:r>
                </w:p>
                <w:p w:rsidR="00CD0FC2" w:rsidRDefault="00CD0FC2" w:rsidP="00CD0FC2"/>
              </w:txbxContent>
            </v:textbox>
            <w10:wrap type="none"/>
            <w10:anchorlock/>
          </v:shape>
        </w:pict>
      </w:r>
      <w:r>
        <w:t xml:space="preserve"> </w:t>
      </w:r>
      <w:r w:rsidR="00511585">
        <w:pict>
          <v:shape id="_x0000_s1031" type="#_x0000_t202" style="width:166.35pt;height:156.5pt;mso-position-horizontal-relative:char;mso-position-vertical-relative:line;mso-width-relative:margin;mso-height-relative:margin" stroked="f">
            <v:textbox style="mso-next-textbox:#_x0000_s1031">
              <w:txbxContent>
                <w:p w:rsidR="00CD0FC2" w:rsidRDefault="00CD0FC2" w:rsidP="00CD0FC2">
                  <w:pPr>
                    <w:pStyle w:val="Caption"/>
                    <w:keepNext/>
                    <w:jc w:val="center"/>
                  </w:pPr>
                  <w:r w:rsidRPr="00D30BA0">
                    <w:rPr>
                      <w:noProof/>
                    </w:rPr>
                    <w:drawing>
                      <wp:inline distT="0" distB="0" distL="0" distR="0">
                        <wp:extent cx="1544436" cy="1345739"/>
                        <wp:effectExtent l="57150" t="57150" r="55764" b="63961"/>
                        <wp:docPr id="11"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3"/>
                                <a:stretch>
                                  <a:fillRect/>
                                </a:stretch>
                              </pic:blipFill>
                              <pic:spPr>
                                <a:xfrm>
                                  <a:off x="0" y="0"/>
                                  <a:ext cx="1548042" cy="1348881"/>
                                </a:xfrm>
                                <a:prstGeom prst="rect">
                                  <a:avLst/>
                                </a:prstGeom>
                                <a:ln w="63500">
                                  <a:solidFill>
                                    <a:schemeClr val="bg2">
                                      <a:lumMod val="50000"/>
                                    </a:schemeClr>
                                  </a:solidFill>
                                </a:ln>
                              </pic:spPr>
                            </pic:pic>
                          </a:graphicData>
                        </a:graphic>
                      </wp:inline>
                    </w:drawing>
                  </w:r>
                </w:p>
                <w:p w:rsidR="00CD0FC2" w:rsidRPr="00B61338" w:rsidRDefault="00CD0FC2" w:rsidP="00CD0FC2">
                  <w:pPr>
                    <w:pStyle w:val="Caption"/>
                    <w:jc w:val="center"/>
                    <w:rPr>
                      <w:color w:val="auto"/>
                    </w:rPr>
                  </w:pPr>
                  <w:r w:rsidRPr="00B61338">
                    <w:rPr>
                      <w:color w:val="auto"/>
                    </w:rPr>
                    <w:t xml:space="preserve">Figure </w:t>
                  </w:r>
                  <w:r w:rsidR="00511585" w:rsidRPr="00B61338">
                    <w:rPr>
                      <w:color w:val="auto"/>
                    </w:rPr>
                    <w:fldChar w:fldCharType="begin"/>
                  </w:r>
                  <w:r w:rsidRPr="00B61338">
                    <w:rPr>
                      <w:color w:val="auto"/>
                    </w:rPr>
                    <w:instrText xml:space="preserve"> SEQ Figure \* ARABIC </w:instrText>
                  </w:r>
                  <w:r w:rsidR="00511585" w:rsidRPr="00B61338">
                    <w:rPr>
                      <w:color w:val="auto"/>
                    </w:rPr>
                    <w:fldChar w:fldCharType="separate"/>
                  </w:r>
                  <w:r w:rsidR="00BF0701">
                    <w:rPr>
                      <w:noProof/>
                      <w:color w:val="auto"/>
                    </w:rPr>
                    <w:t>2</w:t>
                  </w:r>
                  <w:r w:rsidR="00511585" w:rsidRPr="00B61338">
                    <w:rPr>
                      <w:color w:val="auto"/>
                    </w:rPr>
                    <w:fldChar w:fldCharType="end"/>
                  </w:r>
                  <w:r w:rsidRPr="00B61338">
                    <w:rPr>
                      <w:color w:val="auto"/>
                    </w:rPr>
                    <w:t xml:space="preserve"> </w:t>
                  </w:r>
                  <w:r>
                    <w:rPr>
                      <w:color w:val="auto"/>
                    </w:rPr>
                    <w:t>–</w:t>
                  </w:r>
                  <w:r w:rsidRPr="00B61338">
                    <w:rPr>
                      <w:color w:val="auto"/>
                    </w:rPr>
                    <w:t xml:space="preserve"> </w:t>
                  </w:r>
                  <w:r>
                    <w:rPr>
                      <w:color w:val="auto"/>
                    </w:rPr>
                    <w:t xml:space="preserve">MentorPAL video clip </w:t>
                  </w:r>
                  <w:r>
                    <w:rPr>
                      <w:color w:val="auto"/>
                    </w:rPr>
                    <w:br/>
                  </w:r>
                  <w:r w:rsidR="00400A41">
                    <w:rPr>
                      <w:color w:val="auto"/>
                    </w:rPr>
                    <w:t xml:space="preserve">presented </w:t>
                  </w:r>
                  <w:r>
                    <w:rPr>
                      <w:color w:val="auto"/>
                    </w:rPr>
                    <w:t xml:space="preserve">on </w:t>
                  </w:r>
                  <w:r w:rsidR="00400A41">
                    <w:rPr>
                      <w:color w:val="auto"/>
                    </w:rPr>
                    <w:t xml:space="preserve">a </w:t>
                  </w:r>
                  <w:r>
                    <w:rPr>
                      <w:color w:val="auto"/>
                    </w:rPr>
                    <w:t xml:space="preserve">2-D monitor </w:t>
                  </w:r>
                </w:p>
                <w:p w:rsidR="00CD0FC2" w:rsidRDefault="00CD0FC2" w:rsidP="00CD0FC2"/>
              </w:txbxContent>
            </v:textbox>
            <w10:wrap type="none"/>
            <w10:anchorlock/>
          </v:shape>
        </w:pict>
      </w:r>
      <w:r>
        <w:t xml:space="preserve"> </w:t>
      </w:r>
      <w:r w:rsidR="00511585">
        <w:pict>
          <v:shape id="_x0000_s1030" type="#_x0000_t202" style="width:160.35pt;height:155.85pt;mso-position-horizontal-relative:char;mso-position-vertical-relative:line;mso-width-relative:margin;mso-height-relative:margin" stroked="f">
            <v:textbox style="mso-next-textbox:#_x0000_s1030">
              <w:txbxContent>
                <w:p w:rsidR="00CD0FC2" w:rsidRDefault="00CD0FC2" w:rsidP="00CD0FC2">
                  <w:pPr>
                    <w:keepNext/>
                    <w:tabs>
                      <w:tab w:val="left" w:pos="1386"/>
                    </w:tabs>
                    <w:jc w:val="center"/>
                  </w:pPr>
                  <w:r w:rsidRPr="00465689">
                    <w:rPr>
                      <w:noProof/>
                    </w:rPr>
                    <w:drawing>
                      <wp:inline distT="0" distB="0" distL="0" distR="0">
                        <wp:extent cx="1753651" cy="1359081"/>
                        <wp:effectExtent l="19050" t="0" r="0" b="0"/>
                        <wp:docPr id="12"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4" cstate="screen"/>
                                <a:srcRect t="6098"/>
                                <a:stretch>
                                  <a:fillRect/>
                                </a:stretch>
                              </pic:blipFill>
                              <pic:spPr>
                                <a:xfrm>
                                  <a:off x="0" y="0"/>
                                  <a:ext cx="1753651" cy="1359081"/>
                                </a:xfrm>
                                <a:prstGeom prst="rect">
                                  <a:avLst/>
                                </a:prstGeom>
                              </pic:spPr>
                            </pic:pic>
                          </a:graphicData>
                        </a:graphic>
                      </wp:inline>
                    </w:drawing>
                  </w:r>
                </w:p>
                <w:p w:rsidR="00CD0FC2" w:rsidRDefault="00CD0FC2" w:rsidP="00CD0FC2">
                  <w:pPr>
                    <w:pStyle w:val="Caption"/>
                    <w:spacing w:before="180" w:after="0"/>
                    <w:ind w:left="86"/>
                    <w:jc w:val="center"/>
                  </w:pPr>
                  <w:r w:rsidRPr="00B61338">
                    <w:rPr>
                      <w:color w:val="auto"/>
                    </w:rPr>
                    <w:t xml:space="preserve">Figure </w:t>
                  </w:r>
                  <w:r w:rsidR="00511585" w:rsidRPr="00B61338">
                    <w:rPr>
                      <w:color w:val="auto"/>
                    </w:rPr>
                    <w:fldChar w:fldCharType="begin"/>
                  </w:r>
                  <w:r w:rsidRPr="00B61338">
                    <w:rPr>
                      <w:color w:val="auto"/>
                    </w:rPr>
                    <w:instrText xml:space="preserve"> SEQ Figure \* ARABIC </w:instrText>
                  </w:r>
                  <w:r w:rsidR="00511585" w:rsidRPr="00B61338">
                    <w:rPr>
                      <w:color w:val="auto"/>
                    </w:rPr>
                    <w:fldChar w:fldCharType="separate"/>
                  </w:r>
                  <w:r w:rsidR="00BF0701">
                    <w:rPr>
                      <w:noProof/>
                      <w:color w:val="auto"/>
                    </w:rPr>
                    <w:t>3</w:t>
                  </w:r>
                  <w:r w:rsidR="00511585" w:rsidRPr="00B61338">
                    <w:rPr>
                      <w:color w:val="auto"/>
                    </w:rPr>
                    <w:fldChar w:fldCharType="end"/>
                  </w:r>
                  <w:r w:rsidRPr="00B61338">
                    <w:rPr>
                      <w:color w:val="auto"/>
                    </w:rPr>
                    <w:t xml:space="preserve"> </w:t>
                  </w:r>
                  <w:r>
                    <w:rPr>
                      <w:color w:val="auto"/>
                    </w:rPr>
                    <w:t>–</w:t>
                  </w:r>
                  <w:r w:rsidRPr="00B61338">
                    <w:rPr>
                      <w:color w:val="auto"/>
                    </w:rPr>
                    <w:t xml:space="preserve"> Fully Animated </w:t>
                  </w:r>
                  <w:r>
                    <w:rPr>
                      <w:color w:val="auto"/>
                    </w:rPr>
                    <w:br/>
                  </w:r>
                  <w:r w:rsidRPr="00B61338">
                    <w:rPr>
                      <w:color w:val="auto"/>
                    </w:rPr>
                    <w:t xml:space="preserve">CGI </w:t>
                  </w:r>
                  <w:r>
                    <w:rPr>
                      <w:color w:val="auto"/>
                    </w:rPr>
                    <w:t>in SimCoach</w:t>
                  </w:r>
                </w:p>
              </w:txbxContent>
            </v:textbox>
            <w10:wrap type="none"/>
            <w10:anchorlock/>
          </v:shape>
        </w:pict>
      </w:r>
    </w:p>
    <w:p w:rsidR="00CD0FC2" w:rsidRDefault="00CD0FC2" w:rsidP="00CD0FC2">
      <w:pPr>
        <w:jc w:val="both"/>
      </w:pPr>
    </w:p>
    <w:p w:rsidR="00CD0FC2" w:rsidRDefault="00CD0FC2" w:rsidP="00CD0FC2">
      <w:pPr>
        <w:jc w:val="both"/>
      </w:pPr>
      <w:r>
        <w:t>Although a virtual human may seem as simple as remodeling a human using CGI, it turns out that it takes significant study and effort to implement a Virtual Human, and the process can consume considerable computing power to do so effectively. The essential elements that go into the creation of a virtual human with lifelike abilities include nat</w:t>
      </w:r>
      <w:r>
        <w:t>u</w:t>
      </w:r>
      <w:r>
        <w:t>ral language processing, machine learning, VR, CGI, and social stimulation. Natural language processing (NLP</w:t>
      </w:r>
      <w:proofErr w:type="gramStart"/>
      <w:r>
        <w:t>),</w:t>
      </w:r>
      <w:proofErr w:type="gramEnd"/>
      <w:r>
        <w:t xml:space="preserve"> will be the main focus of this discussion, though the same argument concerning the limits of virtual humans can be made with several of the other components. Natural language processing composes “an area of research and applic</w:t>
      </w:r>
      <w:r>
        <w:t>a</w:t>
      </w:r>
      <w:r>
        <w:t xml:space="preserve">tion that explores how computers can be used to understand and manipulate natural language text or speech to do useful things” </w:t>
      </w:r>
      <w:r w:rsidR="002B226E">
        <w:t>(</w:t>
      </w:r>
      <w:r w:rsidR="00BE0D1E">
        <w:t xml:space="preserve">Chowdhury, </w:t>
      </w:r>
      <w:r w:rsidR="002B226E" w:rsidRPr="00852988">
        <w:t>2003</w:t>
      </w:r>
      <w:r w:rsidR="002B226E">
        <w:t>)</w:t>
      </w:r>
      <w:r>
        <w:t>. Using this definition within the context of virtual environments, NLP tools allow computer technology to recognize voice input, analyze voice tone, provide lifelike conversation, retrieve info</w:t>
      </w:r>
      <w:r>
        <w:t>r</w:t>
      </w:r>
      <w:r>
        <w:t xml:space="preserve">mation, and many other applications in combination with machine learning. Recent developments in NLP have made significant advances, like “a single convolutional neural network architecture that, given a sentence, outputs a host of language processing predictions: part-of-speech tags, chunks, named entity tags, semantic roles, semantically similar words and the likelihood that the sentence makes sense (grammatically and semantically) using a language model” </w:t>
      </w:r>
      <w:r w:rsidR="002B226E">
        <w:t>(</w:t>
      </w:r>
      <w:r w:rsidR="00BE0D1E">
        <w:t>Collobert</w:t>
      </w:r>
      <w:r w:rsidR="005228F5">
        <w:t xml:space="preserve"> &amp; Weston, </w:t>
      </w:r>
      <w:r w:rsidR="002B226E" w:rsidRPr="00852988">
        <w:t>2008</w:t>
      </w:r>
      <w:r w:rsidR="002B226E">
        <w:t>)</w:t>
      </w:r>
      <w:r>
        <w:t xml:space="preserve">. </w:t>
      </w:r>
    </w:p>
    <w:p w:rsidR="00CD0FC2" w:rsidRDefault="00CD0FC2" w:rsidP="00CD0FC2">
      <w:pPr>
        <w:jc w:val="both"/>
      </w:pPr>
    </w:p>
    <w:p w:rsidR="00CD0FC2" w:rsidRDefault="00CD0FC2" w:rsidP="00CD0FC2">
      <w:pPr>
        <w:jc w:val="both"/>
      </w:pPr>
      <w:r>
        <w:t xml:space="preserve">Many applications, through interpretation of language, have been quickly advanced by the researchers focusing their studies on the field. At ICT, progress has been made in training and learning environments </w:t>
      </w:r>
      <w:r w:rsidR="002B226E">
        <w:t>(</w:t>
      </w:r>
      <w:r w:rsidR="002B226E" w:rsidRPr="00852988">
        <w:t>Kenny</w:t>
      </w:r>
      <w:r w:rsidR="00BE0D1E" w:rsidRPr="00BE0D1E">
        <w:t xml:space="preserve"> </w:t>
      </w:r>
      <w:r w:rsidR="00AB3A67" w:rsidRPr="00AB3A67">
        <w:rPr>
          <w:i/>
        </w:rPr>
        <w:t>et al.</w:t>
      </w:r>
      <w:r w:rsidR="00BE0D1E">
        <w:t xml:space="preserve">, </w:t>
      </w:r>
      <w:r w:rsidR="002B226E" w:rsidRPr="00852988">
        <w:t>2007</w:t>
      </w:r>
      <w:r w:rsidR="002B226E">
        <w:t>)</w:t>
      </w:r>
      <w:r>
        <w:t xml:space="preserve">, multi-party dialogues </w:t>
      </w:r>
      <w:r w:rsidR="002B226E">
        <w:t>(</w:t>
      </w:r>
      <w:r w:rsidR="00BE0D1E">
        <w:t xml:space="preserve">Traum &amp; Rickel, </w:t>
      </w:r>
      <w:r w:rsidR="002B226E" w:rsidRPr="00852988">
        <w:t>2002</w:t>
      </w:r>
      <w:r w:rsidR="002B226E">
        <w:t>)</w:t>
      </w:r>
      <w:r>
        <w:t xml:space="preserve">, ethics and cooperation </w:t>
      </w:r>
      <w:r w:rsidR="002B226E">
        <w:t>(</w:t>
      </w:r>
      <w:r w:rsidR="002B226E" w:rsidRPr="00852988">
        <w:t>Allwood</w:t>
      </w:r>
      <w:r w:rsidR="00DE1647" w:rsidRPr="00DE1647">
        <w:t xml:space="preserve"> </w:t>
      </w:r>
      <w:r w:rsidR="00AB3A67" w:rsidRPr="00AB3A67">
        <w:rPr>
          <w:i/>
        </w:rPr>
        <w:t>et al.</w:t>
      </w:r>
      <w:r w:rsidR="00DE1647">
        <w:t xml:space="preserve">, </w:t>
      </w:r>
      <w:r w:rsidR="002B226E" w:rsidRPr="00852988">
        <w:t>2000</w:t>
      </w:r>
      <w:r w:rsidR="002B226E">
        <w:t>)</w:t>
      </w:r>
      <w:r>
        <w:t xml:space="preserve">, health applications </w:t>
      </w:r>
      <w:r w:rsidR="002B226E">
        <w:t>(</w:t>
      </w:r>
      <w:r w:rsidR="002B226E" w:rsidRPr="00852988">
        <w:t>Rizzo</w:t>
      </w:r>
      <w:r w:rsidR="00DE1647" w:rsidRPr="00DE1647">
        <w:t xml:space="preserve"> </w:t>
      </w:r>
      <w:r w:rsidR="00AB3A67" w:rsidRPr="00AB3A67">
        <w:rPr>
          <w:i/>
        </w:rPr>
        <w:t>et al.</w:t>
      </w:r>
      <w:r w:rsidR="00DE1647">
        <w:t xml:space="preserve">, </w:t>
      </w:r>
      <w:r w:rsidR="002B226E" w:rsidRPr="00852988">
        <w:t>2011</w:t>
      </w:r>
      <w:r w:rsidR="002B226E">
        <w:t>)</w:t>
      </w:r>
      <w:r>
        <w:t xml:space="preserve">, and representation and reasoning </w:t>
      </w:r>
      <w:r w:rsidR="002B226E">
        <w:t>(</w:t>
      </w:r>
      <w:r w:rsidR="002B226E" w:rsidRPr="00852988">
        <w:t>Swartout</w:t>
      </w:r>
      <w:r w:rsidR="00DE1647" w:rsidRPr="00DE1647">
        <w:t xml:space="preserve"> </w:t>
      </w:r>
      <w:r w:rsidR="00AB3A67" w:rsidRPr="00AB3A67">
        <w:rPr>
          <w:i/>
        </w:rPr>
        <w:t>et al.</w:t>
      </w:r>
      <w:r w:rsidR="00DE1647">
        <w:t xml:space="preserve">, </w:t>
      </w:r>
      <w:r w:rsidR="002B226E" w:rsidRPr="00852988">
        <w:t>2006</w:t>
      </w:r>
      <w:r w:rsidR="002B226E">
        <w:t>)</w:t>
      </w:r>
      <w:r>
        <w:t>. Although automated speech recogn</w:t>
      </w:r>
      <w:r>
        <w:t>i</w:t>
      </w:r>
      <w:r>
        <w:t xml:space="preserve">tion (ASR) is far from perfect, prime software makes Virtual Humans practicable, “Google achieved 73.3% of exact recognized phrases with a 15.8% </w:t>
      </w:r>
      <w:r w:rsidR="002B226E">
        <w:t>(</w:t>
      </w:r>
      <w:r>
        <w:t>Word Error Rate</w:t>
      </w:r>
      <w:r w:rsidR="002B226E">
        <w:t>)</w:t>
      </w:r>
      <w:r>
        <w:t xml:space="preserve">” </w:t>
      </w:r>
      <w:r w:rsidR="002B226E">
        <w:t>(</w:t>
      </w:r>
      <w:r w:rsidR="002B226E" w:rsidRPr="00852988">
        <w:t>Kudryavtsev</w:t>
      </w:r>
      <w:r w:rsidR="002B226E">
        <w:t>, 2017)</w:t>
      </w:r>
      <w:r>
        <w:t>, and the technology will continue to i</w:t>
      </w:r>
      <w:r>
        <w:t>m</w:t>
      </w:r>
      <w:r>
        <w:t xml:space="preserve">prove. It is also important to note that many of the errors in ASR are caused by slurred speech, cultural slang, and context, stemming from a “lack of consistent units of speech that are trainable and relatively insensitive to context” </w:t>
      </w:r>
      <w:r w:rsidR="002B226E">
        <w:t>(</w:t>
      </w:r>
      <w:r w:rsidR="00DE1647">
        <w:t xml:space="preserve">Lee, </w:t>
      </w:r>
      <w:r w:rsidR="002B226E" w:rsidRPr="00852988">
        <w:t>1988</w:t>
      </w:r>
      <w:r w:rsidR="002B226E">
        <w:t>)</w:t>
      </w:r>
      <w:r>
        <w:t xml:space="preserve">. Although this causes problems when comparing these transcriptions with global data, models can be trained locally to a particular person’s voice or a low resource language, using software such as CMU Sphinx from Carnegie Mellon University as applied to languages such as Arabic </w:t>
      </w:r>
      <w:r w:rsidR="002B226E">
        <w:t>(</w:t>
      </w:r>
      <w:r w:rsidR="002B226E" w:rsidRPr="00852988">
        <w:t>Satori</w:t>
      </w:r>
      <w:r w:rsidR="00DE1647" w:rsidRPr="00DE1647">
        <w:t xml:space="preserve"> </w:t>
      </w:r>
      <w:r w:rsidR="00AB3A67" w:rsidRPr="00AB3A67">
        <w:rPr>
          <w:i/>
        </w:rPr>
        <w:t>et al.</w:t>
      </w:r>
      <w:r w:rsidR="00DE1647">
        <w:t xml:space="preserve">, </w:t>
      </w:r>
      <w:r w:rsidR="002B226E" w:rsidRPr="00852988">
        <w:t>2007</w:t>
      </w:r>
      <w:r w:rsidR="002B226E">
        <w:t>)</w:t>
      </w:r>
      <w:r>
        <w:t>. Although these customiz</w:t>
      </w:r>
      <w:r>
        <w:t>a</w:t>
      </w:r>
      <w:r>
        <w:t xml:space="preserve">tions and build-your-own languages can be more accurate, they take time to implement and often require increased local processing power. </w:t>
      </w:r>
    </w:p>
    <w:p w:rsidR="00CD0FC2" w:rsidRDefault="00CD0FC2" w:rsidP="00CD0FC2">
      <w:pPr>
        <w:jc w:val="both"/>
      </w:pPr>
    </w:p>
    <w:p w:rsidR="00CD0FC2" w:rsidRDefault="00CD0FC2" w:rsidP="00CD0FC2">
      <w:pPr>
        <w:jc w:val="both"/>
      </w:pPr>
      <w:r>
        <w:t>As it stands now, the primary issues with natural language processing include machine translation, precision, data storage, efficiency, and computation power; meeting these are the foci of this paper. All of these will continue to improve with time, as hardware, software, data storage and ease of access are areas within which new research is emerging and seems directly applicable. Specifically, the speed and application of quantum computing will enable significant advances in NLP and its applications: one of which is the critical area of enhancing virtual humans.</w:t>
      </w:r>
    </w:p>
    <w:p w:rsidR="00CD0FC2" w:rsidRDefault="00CD0FC2" w:rsidP="00CD0FC2">
      <w:pPr>
        <w:jc w:val="both"/>
      </w:pPr>
    </w:p>
    <w:p w:rsidR="00CD0FC2" w:rsidRDefault="00CD0FC2" w:rsidP="00CD0FC2">
      <w:pPr>
        <w:jc w:val="both"/>
      </w:pPr>
      <w:r>
        <w:t xml:space="preserve">Virtual humans constitute-and should continue to constitute-a major role in virtual learning, virtual storytelling, VR/AR, and constructive simulation. Within the military context, virtual learning environments provide useful mechanisms for initial training as well as lifelong training. An example of this in implementation can be found in PAL3; “the PAL3 system was designed to accompany a learner throughout their career and mentor them to build and maintain skills” </w:t>
      </w:r>
      <w:r w:rsidR="002B226E">
        <w:t>(</w:t>
      </w:r>
      <w:r w:rsidR="002B226E" w:rsidRPr="00852988">
        <w:t>Swartout</w:t>
      </w:r>
      <w:r w:rsidR="00DE1647" w:rsidRPr="00DE1647">
        <w:t xml:space="preserve"> </w:t>
      </w:r>
      <w:r w:rsidR="00AB3A67" w:rsidRPr="00AB3A67">
        <w:rPr>
          <w:i/>
        </w:rPr>
        <w:t>et al.</w:t>
      </w:r>
      <w:r w:rsidR="00DE1647">
        <w:t xml:space="preserve">, </w:t>
      </w:r>
      <w:r w:rsidR="002B226E" w:rsidRPr="00852988">
        <w:t>2016</w:t>
      </w:r>
      <w:r w:rsidR="002B226E">
        <w:t>)</w:t>
      </w:r>
      <w:r>
        <w:t>. Modern learning calls for new methods of information transfer. Online tools like Khan Academy, YouTube, Coursera, Lynda, and other massive open online courses (MOOCs) are gro</w:t>
      </w:r>
      <w:r>
        <w:t>w</w:t>
      </w:r>
      <w:r>
        <w:t xml:space="preserve">ing in popularity, and the trend does not seem to be slowing down. Many of these tools suffer from the lack of the immediacy and motivational qualities of personal interaction with a human. </w:t>
      </w:r>
    </w:p>
    <w:p w:rsidR="00CD0FC2" w:rsidRDefault="00CD0FC2" w:rsidP="00CD0FC2">
      <w:pPr>
        <w:jc w:val="both"/>
      </w:pPr>
    </w:p>
    <w:p w:rsidR="00BF0701" w:rsidRDefault="00BF0701" w:rsidP="00BF0701">
      <w:pPr>
        <w:keepNext/>
        <w:jc w:val="both"/>
      </w:pPr>
      <w:r>
        <w:rPr>
          <w:noProof/>
        </w:rPr>
        <w:drawing>
          <wp:anchor distT="0" distB="0" distL="114300" distR="114300" simplePos="0" relativeHeight="251658240" behindDoc="0" locked="0" layoutInCell="1" allowOverlap="1">
            <wp:simplePos x="0" y="0"/>
            <wp:positionH relativeFrom="column">
              <wp:posOffset>2783840</wp:posOffset>
            </wp:positionH>
            <wp:positionV relativeFrom="paragraph">
              <wp:posOffset>365760</wp:posOffset>
            </wp:positionV>
            <wp:extent cx="3145155" cy="1767840"/>
            <wp:effectExtent l="19050" t="0" r="0" b="0"/>
            <wp:wrapSquare wrapText="bothSides"/>
            <wp:docPr id="14" name="Picture 12" descr="GuntterInLightSt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ntterInLightStage2.jpg"/>
                    <pic:cNvPicPr/>
                  </pic:nvPicPr>
                  <pic:blipFill>
                    <a:blip r:embed="rId15" cstate="screen"/>
                    <a:stretch>
                      <a:fillRect/>
                    </a:stretch>
                  </pic:blipFill>
                  <pic:spPr>
                    <a:xfrm>
                      <a:off x="0" y="0"/>
                      <a:ext cx="3145155" cy="1767840"/>
                    </a:xfrm>
                    <a:prstGeom prst="rect">
                      <a:avLst/>
                    </a:prstGeom>
                  </pic:spPr>
                </pic:pic>
              </a:graphicData>
            </a:graphic>
          </wp:anchor>
        </w:drawing>
      </w:r>
      <w:r w:rsidR="00CD0FC2">
        <w:t xml:space="preserve">Storytelling and gaming are also important facets of the virtual field. The New Dimensions in Testimony project “allows </w:t>
      </w:r>
      <w:proofErr w:type="gramStart"/>
      <w:r w:rsidR="00CD0FC2">
        <w:t>people</w:t>
      </w:r>
      <w:proofErr w:type="gramEnd"/>
      <w:r w:rsidR="00CD0FC2">
        <w:t xml:space="preserve"> to have an interactive conversation with a human storyteller (a Holocaust survivor) who has recorded a number of dialogue contributions (Figure 4), </w:t>
      </w:r>
    </w:p>
    <w:p w:rsidR="00CD0FC2" w:rsidRDefault="00511585" w:rsidP="00CD0FC2">
      <w:pPr>
        <w:jc w:val="both"/>
      </w:pPr>
      <w:r>
        <w:rPr>
          <w:noProof/>
        </w:rPr>
        <w:pict>
          <v:shape id="_x0000_s1029" type="#_x0000_t202" style="position:absolute;left:0;text-align:left;margin-left:219.2pt;margin-top:136.8pt;width:247.65pt;height:20.85pt;z-index:251660288" stroked="f">
            <v:textbox inset="0,0,0,0">
              <w:txbxContent>
                <w:p w:rsidR="00BF0701" w:rsidRPr="003B25BC" w:rsidRDefault="00BF0701" w:rsidP="00BF0701">
                  <w:pPr>
                    <w:pStyle w:val="Caption"/>
                    <w:jc w:val="center"/>
                    <w:rPr>
                      <w:noProof/>
                      <w:sz w:val="20"/>
                      <w:szCs w:val="20"/>
                    </w:rPr>
                  </w:pPr>
                  <w:r w:rsidRPr="00BF0701">
                    <w:rPr>
                      <w:color w:val="auto"/>
                    </w:rPr>
                    <w:t xml:space="preserve">Figure </w:t>
                  </w:r>
                  <w:r w:rsidR="00511585" w:rsidRPr="00BF0701">
                    <w:rPr>
                      <w:color w:val="auto"/>
                    </w:rPr>
                    <w:fldChar w:fldCharType="begin"/>
                  </w:r>
                  <w:r w:rsidRPr="00BF0701">
                    <w:rPr>
                      <w:color w:val="auto"/>
                    </w:rPr>
                    <w:instrText xml:space="preserve"> SEQ Figure \* ARABIC </w:instrText>
                  </w:r>
                  <w:r w:rsidR="00511585" w:rsidRPr="00BF0701">
                    <w:rPr>
                      <w:color w:val="auto"/>
                    </w:rPr>
                    <w:fldChar w:fldCharType="separate"/>
                  </w:r>
                  <w:r w:rsidRPr="00BF0701">
                    <w:rPr>
                      <w:noProof/>
                      <w:color w:val="auto"/>
                    </w:rPr>
                    <w:t>4</w:t>
                  </w:r>
                  <w:r w:rsidR="00511585" w:rsidRPr="00BF0701">
                    <w:rPr>
                      <w:color w:val="auto"/>
                    </w:rPr>
                    <w:fldChar w:fldCharType="end"/>
                  </w:r>
                  <w:r w:rsidRPr="00B002BF">
                    <w:rPr>
                      <w:color w:val="auto"/>
                    </w:rPr>
                    <w:t xml:space="preserve">– Subject receiving direction </w:t>
                  </w:r>
                  <w:r>
                    <w:rPr>
                      <w:color w:val="auto"/>
                    </w:rPr>
                    <w:t>i</w:t>
                  </w:r>
                  <w:r w:rsidRPr="00B002BF">
                    <w:rPr>
                      <w:color w:val="auto"/>
                    </w:rPr>
                    <w:t xml:space="preserve">n light stage </w:t>
                  </w:r>
                  <w:r>
                    <w:rPr>
                      <w:color w:val="auto"/>
                    </w:rPr>
                    <w:br/>
                  </w:r>
                  <w:r w:rsidRPr="00B002BF">
                    <w:rPr>
                      <w:color w:val="auto"/>
                    </w:rPr>
                    <w:t>used for generating 3-D imagery for holographic display</w:t>
                  </w:r>
                </w:p>
              </w:txbxContent>
            </v:textbox>
            <w10:wrap type="square"/>
          </v:shape>
        </w:pict>
      </w:r>
      <w:proofErr w:type="gramStart"/>
      <w:r w:rsidR="00CD0FC2">
        <w:t>including</w:t>
      </w:r>
      <w:proofErr w:type="gramEnd"/>
      <w:r w:rsidR="00CD0FC2">
        <w:t xml:space="preserve"> many compelling narratives of his exp</w:t>
      </w:r>
      <w:r w:rsidR="00CD0FC2">
        <w:t>e</w:t>
      </w:r>
      <w:r w:rsidR="00CD0FC2">
        <w:t xml:space="preserve">riences and thoughts” </w:t>
      </w:r>
      <w:r w:rsidR="002B226E">
        <w:t>(</w:t>
      </w:r>
      <w:r w:rsidR="002B226E" w:rsidRPr="00852988">
        <w:t>Traum</w:t>
      </w:r>
      <w:r w:rsidR="00DE1647" w:rsidRPr="00DE1647">
        <w:t xml:space="preserve"> </w:t>
      </w:r>
      <w:r w:rsidR="00AB3A67" w:rsidRPr="00AB3A67">
        <w:rPr>
          <w:i/>
        </w:rPr>
        <w:t>et al.</w:t>
      </w:r>
      <w:r w:rsidR="00DE1647">
        <w:t xml:space="preserve">, </w:t>
      </w:r>
      <w:r w:rsidR="002B226E" w:rsidRPr="00852988">
        <w:t>2015</w:t>
      </w:r>
      <w:r w:rsidR="002B226E">
        <w:t>)</w:t>
      </w:r>
      <w:r w:rsidR="00CD0FC2">
        <w:t xml:space="preserve"> . The project’s mandated mission of preserving the st</w:t>
      </w:r>
      <w:r w:rsidR="00CD0FC2">
        <w:t>o</w:t>
      </w:r>
      <w:r w:rsidR="00CD0FC2">
        <w:t>ries of Holocaust survivors can be applied to other important persons and historical sagas of value and interest. Advances in gaming allow for utilization in learning, entertainment, healthcare, and lifelike training for areas like combat, base security, rea</w:t>
      </w:r>
      <w:r w:rsidR="00CD0FC2">
        <w:t>c</w:t>
      </w:r>
      <w:r w:rsidR="00CD0FC2">
        <w:t>tion team strategy, medical emergency responses, interfaces with civilian populations, and critical thinking. The SimCoach system was developed to assist Post Traumatic Stress Disorder (PTSD) su</w:t>
      </w:r>
      <w:r w:rsidR="00CD0FC2">
        <w:t>b</w:t>
      </w:r>
      <w:r w:rsidR="00CD0FC2">
        <w:t xml:space="preserve">jects and to “motivate users to take the first step – to empower themselves to seek advice and information regarding their healthcare” </w:t>
      </w:r>
      <w:r w:rsidR="002B226E">
        <w:t>(</w:t>
      </w:r>
      <w:r w:rsidR="002B226E" w:rsidRPr="00852988">
        <w:t>Rizzo</w:t>
      </w:r>
      <w:r w:rsidR="00DE1647" w:rsidRPr="00DE1647">
        <w:t xml:space="preserve"> </w:t>
      </w:r>
      <w:r w:rsidR="00AB3A67" w:rsidRPr="00AB3A67">
        <w:rPr>
          <w:i/>
        </w:rPr>
        <w:t>et al.</w:t>
      </w:r>
      <w:r w:rsidR="00DE1647">
        <w:t xml:space="preserve">, </w:t>
      </w:r>
      <w:r w:rsidR="002B226E" w:rsidRPr="00852988">
        <w:t>2011</w:t>
      </w:r>
      <w:r w:rsidR="002B226E">
        <w:t>)</w:t>
      </w:r>
      <w:r w:rsidR="00CD0FC2">
        <w:t>. These virtual systems have been shown to have more success, ge</w:t>
      </w:r>
      <w:r w:rsidR="00CD0FC2">
        <w:t>n</w:t>
      </w:r>
      <w:r w:rsidR="00CD0FC2">
        <w:t xml:space="preserve">erating deeper levels of confidence with patients than even live healthcare interactions </w:t>
      </w:r>
      <w:r w:rsidR="002B226E">
        <w:t>(</w:t>
      </w:r>
      <w:r w:rsidR="00DE1647">
        <w:t xml:space="preserve">Rizzo </w:t>
      </w:r>
      <w:r w:rsidR="00AB3A67" w:rsidRPr="00AB3A67">
        <w:rPr>
          <w:i/>
        </w:rPr>
        <w:t>et al.</w:t>
      </w:r>
      <w:r w:rsidR="00DE1647">
        <w:t xml:space="preserve">, </w:t>
      </w:r>
      <w:r w:rsidR="002B226E" w:rsidRPr="00852988">
        <w:t>2011</w:t>
      </w:r>
      <w:r w:rsidR="002B226E">
        <w:t>)</w:t>
      </w:r>
      <w:r w:rsidR="00CD0FC2">
        <w:t>. The su</w:t>
      </w:r>
      <w:r w:rsidR="00CD0FC2">
        <w:t>c</w:t>
      </w:r>
      <w:r w:rsidR="00CD0FC2">
        <w:t>cesses of these operations thus far encourage research into potential future applications.</w:t>
      </w:r>
    </w:p>
    <w:p w:rsidR="00CD0FC2" w:rsidRDefault="00CD0FC2" w:rsidP="00CD0FC2">
      <w:pPr>
        <w:jc w:val="both"/>
      </w:pPr>
    </w:p>
    <w:p w:rsidR="000D660B" w:rsidRDefault="00CD0FC2" w:rsidP="00CD0FC2">
      <w:pPr>
        <w:jc w:val="both"/>
      </w:pPr>
      <w:r>
        <w:t>The benefits of virtual environments include making the most skilled instructors and resources available and scal</w:t>
      </w:r>
      <w:r>
        <w:t>a</w:t>
      </w:r>
      <w:r>
        <w:t>ble, engaging new learning environments, confidentiality, and global accessibility. Some of the negatives of virtual learning are the difficulties of personalizing learning to fit individual students, handling live question, responding to different learning styles, and similar limits to NLP and other processor and data heavy systems. On the positive side, this approach does allow for using only the best instructors and can avoid the classroom stricture against teaching to the lowest common denominator, having to respond to questions in a generic way. It can be trained to detect and cater to every student’s learning style, and other constraints faced by live teachers. Future fields of focus will i</w:t>
      </w:r>
      <w:r>
        <w:t>n</w:t>
      </w:r>
      <w:r>
        <w:t>clude streamlining the creation of such virtual environments and interaction. For example, it is possible to conceive a system which takes in a live recorded interview with a U.S. President, or other prominent or knowledgeable figure, and generates an interactive environment in which a user can experience the interview by asking the questions the</w:t>
      </w:r>
      <w:r>
        <w:t>m</w:t>
      </w:r>
      <w:r>
        <w:t xml:space="preserve">selves. Or a true virtual assistant that obviates the need for an assistant might provide a radical shift in the way the </w:t>
      </w:r>
      <w:proofErr w:type="gramStart"/>
      <w:r>
        <w:t>DoD</w:t>
      </w:r>
      <w:proofErr w:type="gramEnd"/>
      <w:r>
        <w:t xml:space="preserve"> functions. Such tools are already in existence, and they will only become more prevalent and powerful. Ho</w:t>
      </w:r>
      <w:r>
        <w:t>w</w:t>
      </w:r>
      <w:r>
        <w:t>ever, the need for extensive processing power, efficiency, and data storage and transfer remains a limiting factor for many such developments. The aforementioned applications call for considerable further exploration and research. They may well be amenable to a quantum annealing approach to deep learning enhancement.</w:t>
      </w:r>
      <w:r w:rsidR="00001B2B">
        <w:t xml:space="preserve"> </w:t>
      </w:r>
    </w:p>
    <w:p w:rsidR="000D660B" w:rsidRDefault="000D660B" w:rsidP="000905FD">
      <w:pPr>
        <w:jc w:val="both"/>
      </w:pPr>
    </w:p>
    <w:p w:rsidR="00CD0FC2" w:rsidRPr="00851034" w:rsidRDefault="00CD0FC2" w:rsidP="00CD0FC2">
      <w:pPr>
        <w:pStyle w:val="Heading1"/>
      </w:pPr>
      <w:r>
        <w:t xml:space="preserve">Mentor PAL  </w:t>
      </w:r>
    </w:p>
    <w:p w:rsidR="000905FD" w:rsidRDefault="000905FD" w:rsidP="000905FD">
      <w:pPr>
        <w:jc w:val="both"/>
      </w:pPr>
    </w:p>
    <w:p w:rsidR="00F538B2" w:rsidRDefault="00F538B2" w:rsidP="000905FD">
      <w:pPr>
        <w:jc w:val="both"/>
      </w:pPr>
      <w:r>
        <w:t xml:space="preserve">One of the needs identified by the </w:t>
      </w:r>
      <w:proofErr w:type="gramStart"/>
      <w:r>
        <w:t>DoD</w:t>
      </w:r>
      <w:proofErr w:type="gramEnd"/>
      <w:r>
        <w:t xml:space="preserve"> is the increasing need for technical personnel, both in uniform and in a wide range of civilian capacities.  To meet that need, potential candidates putatively would be well served to have access to thoughtful and experienced technical personnel who can clearly communicate the careers that may be offered to them. There are several fac</w:t>
      </w:r>
      <w:r w:rsidR="00EB1C23">
        <w:t xml:space="preserve">tors that </w:t>
      </w:r>
      <w:proofErr w:type="gramStart"/>
      <w:r w:rsidR="00EB1C23">
        <w:t>mitigate</w:t>
      </w:r>
      <w:proofErr w:type="gramEnd"/>
      <w:r w:rsidR="00EB1C23">
        <w:t xml:space="preserve"> against that availability of effective mentoring.  Some of the factors that have been mentioned by education leaders who have given input into the Mentor PAL project </w:t>
      </w:r>
    </w:p>
    <w:p w:rsidR="000905FD" w:rsidRDefault="000905FD" w:rsidP="000905FD">
      <w:pPr>
        <w:jc w:val="both"/>
      </w:pPr>
    </w:p>
    <w:p w:rsidR="00CD0FC2" w:rsidRDefault="00CD0FC2" w:rsidP="00CD0FC2">
      <w:pPr>
        <w:pStyle w:val="Heading1"/>
      </w:pPr>
      <w:r>
        <w:lastRenderedPageBreak/>
        <w:t>System Engineering</w:t>
      </w:r>
    </w:p>
    <w:p w:rsidR="00CD0FC2" w:rsidRDefault="00CD0FC2" w:rsidP="000905FD">
      <w:pPr>
        <w:jc w:val="both"/>
      </w:pPr>
    </w:p>
    <w:p w:rsidR="0016391F" w:rsidRDefault="0016391F" w:rsidP="0016391F">
      <w:pPr>
        <w:pStyle w:val="Heading2"/>
      </w:pPr>
      <w:r>
        <w:t>The Discipline of System Engineering</w:t>
      </w:r>
    </w:p>
    <w:p w:rsidR="0016391F" w:rsidRDefault="0016391F" w:rsidP="000905FD">
      <w:pPr>
        <w:jc w:val="both"/>
      </w:pPr>
    </w:p>
    <w:p w:rsidR="0016391F" w:rsidRDefault="0016391F" w:rsidP="000905FD">
      <w:pPr>
        <w:jc w:val="both"/>
      </w:pPr>
    </w:p>
    <w:p w:rsidR="0016391F" w:rsidRDefault="0016391F" w:rsidP="0016391F">
      <w:pPr>
        <w:pStyle w:val="Heading2"/>
      </w:pPr>
      <w:r>
        <w:t>SE Tools Applicable to Mentor PAL</w:t>
      </w:r>
    </w:p>
    <w:p w:rsidR="0016391F" w:rsidRDefault="0016391F" w:rsidP="000905FD">
      <w:pPr>
        <w:jc w:val="both"/>
      </w:pPr>
    </w:p>
    <w:p w:rsidR="0016391F" w:rsidRDefault="0016391F" w:rsidP="000905FD">
      <w:pPr>
        <w:jc w:val="both"/>
      </w:pPr>
    </w:p>
    <w:p w:rsidR="0016391F" w:rsidRDefault="0016391F" w:rsidP="000905FD">
      <w:pPr>
        <w:jc w:val="both"/>
      </w:pPr>
    </w:p>
    <w:p w:rsidR="0016391F" w:rsidRDefault="0016391F" w:rsidP="0016391F">
      <w:pPr>
        <w:pStyle w:val="Heading2"/>
      </w:pPr>
      <w:r>
        <w:t>Current Application Efforts</w:t>
      </w:r>
    </w:p>
    <w:p w:rsidR="0016391F" w:rsidRDefault="0016391F" w:rsidP="000905FD">
      <w:pPr>
        <w:jc w:val="both"/>
      </w:pPr>
    </w:p>
    <w:p w:rsidR="0016391F" w:rsidRDefault="0016391F" w:rsidP="000905FD">
      <w:pPr>
        <w:jc w:val="both"/>
      </w:pPr>
    </w:p>
    <w:p w:rsidR="0016391F" w:rsidRDefault="0016391F" w:rsidP="0016391F">
      <w:pPr>
        <w:pStyle w:val="Heading2"/>
      </w:pPr>
      <w:r>
        <w:t>Impact of SE on Mentor PAL to Date</w:t>
      </w:r>
    </w:p>
    <w:p w:rsidR="0016391F" w:rsidRDefault="0016391F" w:rsidP="000905FD">
      <w:pPr>
        <w:jc w:val="both"/>
      </w:pPr>
    </w:p>
    <w:p w:rsidR="0016391F" w:rsidRDefault="0016391F" w:rsidP="000905FD">
      <w:pPr>
        <w:jc w:val="both"/>
      </w:pPr>
    </w:p>
    <w:p w:rsidR="00CD0FC2" w:rsidRDefault="00CD0FC2" w:rsidP="000905FD">
      <w:pPr>
        <w:jc w:val="both"/>
      </w:pPr>
    </w:p>
    <w:p w:rsidR="00CD0FC2" w:rsidRDefault="00BF0701" w:rsidP="00BF0701">
      <w:pPr>
        <w:pStyle w:val="Heading1"/>
      </w:pPr>
      <w:r>
        <w:t>Analysis</w:t>
      </w:r>
    </w:p>
    <w:p w:rsidR="00BF0701" w:rsidRDefault="00BF0701" w:rsidP="000905FD">
      <w:pPr>
        <w:jc w:val="both"/>
      </w:pPr>
    </w:p>
    <w:p w:rsidR="00BF0701" w:rsidRDefault="00BF0701" w:rsidP="00BF0701">
      <w:pPr>
        <w:pStyle w:val="Heading1"/>
      </w:pPr>
      <w:r>
        <w:t>Conclusions</w:t>
      </w:r>
    </w:p>
    <w:p w:rsidR="00BF0701" w:rsidRDefault="00BF0701" w:rsidP="000905FD">
      <w:pPr>
        <w:jc w:val="both"/>
      </w:pPr>
    </w:p>
    <w:p w:rsidR="00BF0701" w:rsidRDefault="00BF0701" w:rsidP="00BF0701">
      <w:pPr>
        <w:pStyle w:val="Heading1"/>
      </w:pPr>
      <w:r>
        <w:t xml:space="preserve">Acknowledgements </w:t>
      </w:r>
    </w:p>
    <w:p w:rsidR="00BF0701" w:rsidRDefault="00BF0701" w:rsidP="000905FD">
      <w:pPr>
        <w:jc w:val="both"/>
      </w:pPr>
    </w:p>
    <w:p w:rsidR="00BF0701" w:rsidRDefault="00BF0701" w:rsidP="00BF0701">
      <w:pPr>
        <w:pStyle w:val="Heading1"/>
      </w:pPr>
      <w:r>
        <w:t xml:space="preserve">References </w:t>
      </w:r>
    </w:p>
    <w:p w:rsidR="00BF0701" w:rsidRDefault="00BF0701" w:rsidP="000905FD">
      <w:pPr>
        <w:jc w:val="both"/>
      </w:pPr>
    </w:p>
    <w:p w:rsidR="00BF0701" w:rsidRPr="00BF0701" w:rsidRDefault="00BF0701" w:rsidP="007561F9">
      <w:pPr>
        <w:pStyle w:val="IITSEC-Ref"/>
      </w:pPr>
      <w:proofErr w:type="gramStart"/>
      <w:r w:rsidRPr="00BF0701">
        <w:t>Allwood, J., Traum, D., &amp; Jokinen, K. (2000).</w:t>
      </w:r>
      <w:proofErr w:type="gramEnd"/>
      <w:r w:rsidRPr="00BF0701">
        <w:t xml:space="preserve"> “Cooperation, Dialogue and Ethics.” </w:t>
      </w:r>
      <w:r w:rsidRPr="00674463">
        <w:rPr>
          <w:i/>
        </w:rPr>
        <w:t>International Journal of Human-Computer Studie</w:t>
      </w:r>
      <w:r w:rsidRPr="00BF0701">
        <w:t>s, 53(6), 871-914.</w:t>
      </w:r>
    </w:p>
    <w:p w:rsidR="00BF0701" w:rsidRPr="00BF0701" w:rsidRDefault="00674463" w:rsidP="007561F9">
      <w:pPr>
        <w:pStyle w:val="IITSEC-Ref"/>
      </w:pPr>
      <w:r>
        <w:t>Chowdhury, G.</w:t>
      </w:r>
      <w:r w:rsidR="00BF0701" w:rsidRPr="00BF0701">
        <w:t xml:space="preserve"> (2003). </w:t>
      </w:r>
      <w:proofErr w:type="gramStart"/>
      <w:r w:rsidR="00BF0701" w:rsidRPr="00BF0701">
        <w:t>“Natural language processing.”</w:t>
      </w:r>
      <w:proofErr w:type="gramEnd"/>
      <w:r w:rsidR="00BF0701" w:rsidRPr="00BF0701">
        <w:t xml:space="preserve"> </w:t>
      </w:r>
      <w:r w:rsidR="00BF0701" w:rsidRPr="00674463">
        <w:rPr>
          <w:i/>
        </w:rPr>
        <w:t>Annual</w:t>
      </w:r>
      <w:r w:rsidR="00BF0701" w:rsidRPr="00BF0701">
        <w:t xml:space="preserve"> </w:t>
      </w:r>
      <w:r w:rsidR="00BF0701" w:rsidRPr="00674463">
        <w:rPr>
          <w:i/>
        </w:rPr>
        <w:t>review of information science and technology</w:t>
      </w:r>
      <w:r w:rsidR="00BF0701" w:rsidRPr="00BF0701">
        <w:t>, 37(1), 51-89.</w:t>
      </w:r>
    </w:p>
    <w:p w:rsidR="00BF0701" w:rsidRDefault="00BF0701" w:rsidP="007561F9">
      <w:pPr>
        <w:pStyle w:val="IITSEC-Ref"/>
      </w:pPr>
      <w:proofErr w:type="gramStart"/>
      <w:r w:rsidRPr="00BF0701">
        <w:t>Collobert, R., &amp; Weston, J. (2008, July).</w:t>
      </w:r>
      <w:proofErr w:type="gramEnd"/>
      <w:r w:rsidRPr="00BF0701">
        <w:t xml:space="preserve"> “A unified architecture for natural language processing: Deep neural networks with multitask learning.” </w:t>
      </w:r>
      <w:proofErr w:type="gramStart"/>
      <w:r w:rsidRPr="00BF0701">
        <w:t xml:space="preserve">In Proceedings of the </w:t>
      </w:r>
      <w:r w:rsidRPr="00674463">
        <w:rPr>
          <w:i/>
        </w:rPr>
        <w:t xml:space="preserve">25th international conference on Machine learning </w:t>
      </w:r>
      <w:r w:rsidRPr="00BF0701">
        <w:t>(pp. 160-167).</w:t>
      </w:r>
      <w:proofErr w:type="gramEnd"/>
      <w:r w:rsidRPr="00BF0701">
        <w:t xml:space="preserve"> </w:t>
      </w:r>
      <w:proofErr w:type="gramStart"/>
      <w:r w:rsidRPr="00BF0701">
        <w:t>ACM.</w:t>
      </w:r>
      <w:proofErr w:type="gramEnd"/>
    </w:p>
    <w:p w:rsidR="00674463" w:rsidRPr="00BF0701" w:rsidRDefault="00674463" w:rsidP="007561F9">
      <w:pPr>
        <w:pStyle w:val="IITSEC-Ref"/>
      </w:pPr>
      <w:r>
        <w:t xml:space="preserve">Gould, J. (2107), </w:t>
      </w:r>
      <w:r w:rsidRPr="00674463">
        <w:t>Military chiefs warn of force-readiness struggles</w:t>
      </w:r>
      <w:r>
        <w:t xml:space="preserve">, </w:t>
      </w:r>
      <w:r w:rsidRPr="00674463">
        <w:rPr>
          <w:i/>
        </w:rPr>
        <w:t>Defense News</w:t>
      </w:r>
      <w:r>
        <w:t xml:space="preserve">, Retrieved 15 January 2018 from:  </w:t>
      </w:r>
      <w:r w:rsidRPr="00674463">
        <w:t>https://www.defensenews.com/congress/2017/02/07/military-chiefs-warn-of-force-readiness-struggles/</w:t>
      </w:r>
    </w:p>
    <w:p w:rsidR="00BF0701" w:rsidRPr="00BF0701" w:rsidRDefault="00BF0701" w:rsidP="007561F9">
      <w:pPr>
        <w:pStyle w:val="IITSEC-Ref"/>
      </w:pPr>
      <w:proofErr w:type="gramStart"/>
      <w:r w:rsidRPr="00BF0701">
        <w:t>Kenny, P., Hartholt, A., Gratch, J., Swartout, W., Traum, D., Marsella, S., &amp; Piepol, D. (2007, November).</w:t>
      </w:r>
      <w:proofErr w:type="gramEnd"/>
      <w:r w:rsidRPr="00BF0701">
        <w:t xml:space="preserve"> </w:t>
      </w:r>
      <w:proofErr w:type="gramStart"/>
      <w:r w:rsidRPr="00BF0701">
        <w:t>“Building Interactive Virtual Humans for Training Environments.”</w:t>
      </w:r>
      <w:proofErr w:type="gramEnd"/>
      <w:r w:rsidRPr="00BF0701">
        <w:t xml:space="preserve"> </w:t>
      </w:r>
      <w:proofErr w:type="gramStart"/>
      <w:r w:rsidRPr="00BF0701">
        <w:t xml:space="preserve">In Proceedings of the </w:t>
      </w:r>
      <w:r w:rsidRPr="00BF0701">
        <w:rPr>
          <w:rStyle w:val="Emphasis"/>
        </w:rPr>
        <w:t>Interservice/Industry Simulation, Training and Education Conference</w:t>
      </w:r>
      <w:r w:rsidRPr="00BF0701">
        <w:t>, Orlando, Florida, 2007 (Vol. 174).</w:t>
      </w:r>
      <w:proofErr w:type="gramEnd"/>
    </w:p>
    <w:p w:rsidR="00BF0701" w:rsidRPr="00BF0701" w:rsidRDefault="00BF0701" w:rsidP="007561F9">
      <w:pPr>
        <w:pStyle w:val="IITSEC-Ref"/>
      </w:pPr>
      <w:r w:rsidRPr="00BF0701">
        <w:t xml:space="preserve">Kudryavtsev, Andrey. </w:t>
      </w:r>
      <w:proofErr w:type="gramStart"/>
      <w:r w:rsidRPr="00BF0701">
        <w:t>"Automatic Speech Recognition Services Comparison."</w:t>
      </w:r>
      <w:proofErr w:type="gramEnd"/>
      <w:r w:rsidRPr="00BF0701">
        <w:t xml:space="preserve"> </w:t>
      </w:r>
      <w:proofErr w:type="gramStart"/>
      <w:r w:rsidRPr="00674463">
        <w:rPr>
          <w:i/>
        </w:rPr>
        <w:t>Grid Designer's Blog</w:t>
      </w:r>
      <w:r w:rsidRPr="00BF0701">
        <w:t>.</w:t>
      </w:r>
      <w:proofErr w:type="gramEnd"/>
      <w:r w:rsidRPr="00BF0701">
        <w:t xml:space="preserve"> </w:t>
      </w:r>
      <w:proofErr w:type="gramStart"/>
      <w:r w:rsidRPr="00BF0701">
        <w:t>N.p</w:t>
      </w:r>
      <w:proofErr w:type="gramEnd"/>
      <w:r w:rsidRPr="00BF0701">
        <w:t>., 11 Jan. 2016.</w:t>
      </w:r>
      <w:r w:rsidR="00674463">
        <w:t xml:space="preserve"> </w:t>
      </w:r>
      <w:proofErr w:type="gramStart"/>
      <w:r w:rsidR="00674463">
        <w:t xml:space="preserve">Retrieved on 20 Apr. 2017 from: </w:t>
      </w:r>
      <w:r w:rsidRPr="00BF0701">
        <w:t>http://blog-archive.griddynamics.com/2016/01/automatic-s</w:t>
      </w:r>
      <w:r w:rsidR="00674463">
        <w:t>peech-recognition-services.html</w:t>
      </w:r>
      <w:r w:rsidRPr="00BF0701">
        <w:t>.</w:t>
      </w:r>
      <w:proofErr w:type="gramEnd"/>
    </w:p>
    <w:p w:rsidR="00BF0701" w:rsidRDefault="00BF0701" w:rsidP="007561F9">
      <w:pPr>
        <w:pStyle w:val="IITSEC-Ref"/>
      </w:pPr>
      <w:r w:rsidRPr="00BF0701">
        <w:t xml:space="preserve">Lee, K. F. (1988). </w:t>
      </w:r>
      <w:proofErr w:type="gramStart"/>
      <w:r w:rsidRPr="00BF0701">
        <w:t>“Automatic speech recognition: the development of the SPHINX system” (Vol. 62).</w:t>
      </w:r>
      <w:proofErr w:type="gramEnd"/>
      <w:r w:rsidRPr="00BF0701">
        <w:t xml:space="preserve"> </w:t>
      </w:r>
      <w:proofErr w:type="gramStart"/>
      <w:r w:rsidRPr="00674463">
        <w:rPr>
          <w:i/>
        </w:rPr>
        <w:t>Springer Science &amp; Business Media</w:t>
      </w:r>
      <w:r w:rsidRPr="00BF0701">
        <w:t>.</w:t>
      </w:r>
      <w:proofErr w:type="gramEnd"/>
    </w:p>
    <w:p w:rsidR="007561F9" w:rsidRPr="00BF0701" w:rsidRDefault="007561F9" w:rsidP="007561F9">
      <w:pPr>
        <w:pStyle w:val="IITSEC-Ref"/>
      </w:pPr>
      <w:proofErr w:type="gramStart"/>
      <w:r w:rsidRPr="007561F9">
        <w:t>Payne, S. C., &amp; Huffman, A. H. (2005).</w:t>
      </w:r>
      <w:proofErr w:type="gramEnd"/>
      <w:r w:rsidRPr="007561F9">
        <w:t xml:space="preserve"> </w:t>
      </w:r>
      <w:proofErr w:type="gramStart"/>
      <w:r w:rsidRPr="007561F9">
        <w:t>A longitudinal examination of the influence of mentoring on organiz</w:t>
      </w:r>
      <w:r w:rsidRPr="007561F9">
        <w:t>a</w:t>
      </w:r>
      <w:r w:rsidRPr="007561F9">
        <w:t>tional commitment and turnover.</w:t>
      </w:r>
      <w:proofErr w:type="gramEnd"/>
      <w:r w:rsidRPr="007561F9">
        <w:t xml:space="preserve"> </w:t>
      </w:r>
      <w:r w:rsidRPr="007561F9">
        <w:rPr>
          <w:i/>
        </w:rPr>
        <w:t>Academy of Management Journal</w:t>
      </w:r>
      <w:r w:rsidRPr="007561F9">
        <w:t>, 48(1), 158-168.</w:t>
      </w:r>
    </w:p>
    <w:p w:rsidR="00BF0701" w:rsidRPr="00BF0701" w:rsidRDefault="00BF0701" w:rsidP="007561F9">
      <w:pPr>
        <w:pStyle w:val="IITSEC-Ref"/>
      </w:pPr>
      <w:r w:rsidRPr="00BF0701">
        <w:t>Rizzo, A., Lange, B., Buckwalter, J. G., Forbell, E., Kim, J., Sagae, K</w:t>
      </w:r>
      <w:proofErr w:type="gramStart"/>
      <w:r w:rsidRPr="00BF0701">
        <w:t>., ...</w:t>
      </w:r>
      <w:proofErr w:type="gramEnd"/>
      <w:r w:rsidRPr="00BF0701">
        <w:t xml:space="preserve"> &amp; Parsons, T. (2011). “SimCoach: an Intelligent Virtual Human System for Providing Healthcare Information and Support.” </w:t>
      </w:r>
      <w:r w:rsidRPr="00674463">
        <w:rPr>
          <w:i/>
        </w:rPr>
        <w:t>International Journal on Disability and Human Development</w:t>
      </w:r>
      <w:r w:rsidRPr="00BF0701">
        <w:t>, 10(4), 277-281.</w:t>
      </w:r>
    </w:p>
    <w:p w:rsidR="00BF0701" w:rsidRPr="00BF0701" w:rsidRDefault="00BF0701" w:rsidP="007561F9">
      <w:pPr>
        <w:pStyle w:val="SIW-Ref"/>
        <w:keepLines/>
        <w:widowControl/>
        <w:numPr>
          <w:ilvl w:val="0"/>
          <w:numId w:val="0"/>
        </w:numPr>
        <w:tabs>
          <w:tab w:val="clear" w:pos="450"/>
          <w:tab w:val="left" w:pos="540"/>
        </w:tabs>
        <w:ind w:left="374" w:right="187" w:hanging="187"/>
      </w:pPr>
      <w:proofErr w:type="gramStart"/>
      <w:r w:rsidRPr="00BF0701">
        <w:t>Satori, H, Harti, M., &amp; Chenfour, N. (2007).</w:t>
      </w:r>
      <w:proofErr w:type="gramEnd"/>
      <w:r w:rsidRPr="00BF0701">
        <w:t xml:space="preserve"> “Introduction to Arabic Speech Recognition using CMU Sphinx System.” </w:t>
      </w:r>
      <w:r w:rsidRPr="00674463">
        <w:rPr>
          <w:i/>
        </w:rPr>
        <w:t>arXiv preprint</w:t>
      </w:r>
      <w:r w:rsidRPr="00BF0701">
        <w:t xml:space="preserve"> arXiv</w:t>
      </w:r>
      <w:proofErr w:type="gramStart"/>
      <w:r w:rsidRPr="00BF0701">
        <w:t>:0704.2083</w:t>
      </w:r>
      <w:proofErr w:type="gramEnd"/>
      <w:r w:rsidRPr="00BF0701">
        <w:t>.</w:t>
      </w:r>
    </w:p>
    <w:p w:rsidR="00BF0701" w:rsidRPr="00BF0701" w:rsidRDefault="00BF0701" w:rsidP="007561F9">
      <w:pPr>
        <w:pStyle w:val="SIW-Ref"/>
        <w:keepLines/>
        <w:widowControl/>
        <w:numPr>
          <w:ilvl w:val="0"/>
          <w:numId w:val="0"/>
        </w:numPr>
        <w:tabs>
          <w:tab w:val="clear" w:pos="450"/>
          <w:tab w:val="left" w:pos="540"/>
        </w:tabs>
        <w:ind w:left="374" w:right="187" w:hanging="187"/>
      </w:pPr>
      <w:r w:rsidRPr="00BF0701">
        <w:lastRenderedPageBreak/>
        <w:t>Swartout, W. R., Gratch, J., Hill Jr., R W., Hovy, E., Marsella, S., Rickel, J., &amp; Traum, D. (2006). “Toward Vi</w:t>
      </w:r>
      <w:r w:rsidRPr="00BF0701">
        <w:t>r</w:t>
      </w:r>
      <w:r w:rsidRPr="00BF0701">
        <w:t xml:space="preserve">tual Humans.” </w:t>
      </w:r>
      <w:r w:rsidRPr="00674463">
        <w:rPr>
          <w:i/>
        </w:rPr>
        <w:t>AI Magazine</w:t>
      </w:r>
      <w:r w:rsidRPr="00BF0701">
        <w:t>, 27(2), 96.</w:t>
      </w:r>
    </w:p>
    <w:p w:rsidR="00BF0701" w:rsidRPr="00BF0701" w:rsidRDefault="00BF0701" w:rsidP="007561F9">
      <w:pPr>
        <w:pStyle w:val="SIW-Ref"/>
        <w:keepLines/>
        <w:widowControl/>
        <w:numPr>
          <w:ilvl w:val="0"/>
          <w:numId w:val="0"/>
        </w:numPr>
        <w:tabs>
          <w:tab w:val="clear" w:pos="450"/>
          <w:tab w:val="left" w:pos="540"/>
        </w:tabs>
        <w:ind w:left="374" w:right="187" w:hanging="187"/>
      </w:pPr>
      <w:r w:rsidRPr="00BF0701">
        <w:t>Swartout, W. R., Nye, B. D., Hartholt, A., Reilly, A., Graesser, A. C., VanLehn, K</w:t>
      </w:r>
      <w:proofErr w:type="gramStart"/>
      <w:r w:rsidRPr="00BF0701">
        <w:t>., ...</w:t>
      </w:r>
      <w:proofErr w:type="gramEnd"/>
      <w:r w:rsidRPr="00BF0701">
        <w:t xml:space="preserve"> &amp; Wang, L. (2016, March). “Designing a Personal Assistant for Life-Long Learning (PAL3).” </w:t>
      </w:r>
      <w:proofErr w:type="gramStart"/>
      <w:r w:rsidRPr="00BF0701">
        <w:t xml:space="preserve">In </w:t>
      </w:r>
      <w:r w:rsidRPr="00674463">
        <w:rPr>
          <w:i/>
        </w:rPr>
        <w:t>The Twenty-Ninth International Flairs Conference</w:t>
      </w:r>
      <w:r w:rsidRPr="00BF0701">
        <w:t>.</w:t>
      </w:r>
      <w:proofErr w:type="gramEnd"/>
    </w:p>
    <w:p w:rsidR="007561F9" w:rsidRPr="00BF0701" w:rsidRDefault="00BF0701" w:rsidP="007561F9">
      <w:pPr>
        <w:pStyle w:val="SIW-Ref"/>
        <w:keepLines/>
        <w:widowControl/>
        <w:numPr>
          <w:ilvl w:val="0"/>
          <w:numId w:val="0"/>
        </w:numPr>
        <w:tabs>
          <w:tab w:val="clear" w:pos="450"/>
          <w:tab w:val="left" w:pos="540"/>
        </w:tabs>
        <w:ind w:left="374" w:right="187" w:hanging="187"/>
      </w:pPr>
      <w:proofErr w:type="gramStart"/>
      <w:r w:rsidRPr="00BF0701">
        <w:t>Traum, D., &amp; Rickel, J. (2002, July).</w:t>
      </w:r>
      <w:proofErr w:type="gramEnd"/>
      <w:r w:rsidRPr="00BF0701">
        <w:t xml:space="preserve"> “Embodied Agents for Multi-party Dialogue in Immersive Virtual Worlds.” In Proceedings of the first </w:t>
      </w:r>
      <w:r w:rsidRPr="00674463">
        <w:rPr>
          <w:i/>
        </w:rPr>
        <w:t>International Joint Conference on Autonomous Agents and Multi-agent Systems</w:t>
      </w:r>
      <w:r w:rsidRPr="00BF0701">
        <w:t xml:space="preserve">: part 2 (pp. 766-773). </w:t>
      </w:r>
      <w:proofErr w:type="gramStart"/>
      <w:r w:rsidRPr="00BF0701">
        <w:t>ACM.</w:t>
      </w:r>
      <w:proofErr w:type="gramEnd"/>
    </w:p>
    <w:p w:rsidR="00BF0701" w:rsidRPr="00BF0701" w:rsidRDefault="00BF0701" w:rsidP="007561F9">
      <w:pPr>
        <w:pStyle w:val="SIW-Ref"/>
        <w:keepLines/>
        <w:widowControl/>
        <w:numPr>
          <w:ilvl w:val="0"/>
          <w:numId w:val="0"/>
        </w:numPr>
        <w:tabs>
          <w:tab w:val="clear" w:pos="450"/>
          <w:tab w:val="left" w:pos="540"/>
        </w:tabs>
        <w:ind w:left="374" w:right="187" w:hanging="187"/>
      </w:pPr>
      <w:r w:rsidRPr="00BF0701">
        <w:t xml:space="preserve">Traum, D., Jones, A., Hays, K., Maio, H., Alexander, O., Artstein, R., Debevec, P., Gainer, A., </w:t>
      </w:r>
      <w:proofErr w:type="spellStart"/>
      <w:r w:rsidRPr="00BF0701">
        <w:t>Georgila</w:t>
      </w:r>
      <w:proofErr w:type="spellEnd"/>
      <w:r w:rsidRPr="00BF0701">
        <w:t xml:space="preserve">, K., </w:t>
      </w:r>
      <w:proofErr w:type="spellStart"/>
      <w:r w:rsidRPr="00BF0701">
        <w:t>Haase</w:t>
      </w:r>
      <w:proofErr w:type="spellEnd"/>
      <w:r w:rsidRPr="00BF0701">
        <w:t>, K., Jungblut, K., Leuski, A., Smith, S., &amp; Jungblut, K. (2015, November). “New Dimensions in Te</w:t>
      </w:r>
      <w:r w:rsidRPr="00BF0701">
        <w:t>s</w:t>
      </w:r>
      <w:r w:rsidRPr="00BF0701">
        <w:t xml:space="preserve">timony: Digitally Preserving a Holocaust Survivor’s Interactive Storytelling.” </w:t>
      </w:r>
      <w:proofErr w:type="gramStart"/>
      <w:r w:rsidRPr="00BF0701">
        <w:t xml:space="preserve">In </w:t>
      </w:r>
      <w:r w:rsidRPr="00674463">
        <w:rPr>
          <w:i/>
        </w:rPr>
        <w:t>International Conference on Interactive Digital Storytelling</w:t>
      </w:r>
      <w:r w:rsidRPr="00BF0701">
        <w:t xml:space="preserve"> (pp. 269-281).</w:t>
      </w:r>
      <w:proofErr w:type="gramEnd"/>
      <w:r w:rsidRPr="00BF0701">
        <w:t xml:space="preserve"> </w:t>
      </w:r>
      <w:proofErr w:type="gramStart"/>
      <w:r w:rsidRPr="00BF0701">
        <w:t>“Springer International Publishing.</w:t>
      </w:r>
      <w:proofErr w:type="gramEnd"/>
    </w:p>
    <w:p w:rsidR="00BF0701" w:rsidRDefault="00BF0701" w:rsidP="007561F9">
      <w:pPr>
        <w:pStyle w:val="IITSEC-Ref"/>
      </w:pPr>
    </w:p>
    <w:p w:rsidR="00CD0FC2" w:rsidRDefault="00CD0FC2" w:rsidP="007561F9">
      <w:pPr>
        <w:pStyle w:val="IITSEC-Ref"/>
      </w:pPr>
    </w:p>
    <w:p w:rsidR="00CD0FC2" w:rsidRDefault="00CD0FC2" w:rsidP="000905FD">
      <w:pPr>
        <w:jc w:val="both"/>
      </w:pPr>
    </w:p>
    <w:p w:rsidR="00CD0FC2" w:rsidRDefault="00CD0FC2" w:rsidP="000905FD">
      <w:pPr>
        <w:jc w:val="both"/>
      </w:pPr>
    </w:p>
    <w:p w:rsidR="00CD0FC2" w:rsidRPr="00851034" w:rsidRDefault="00CD0FC2">
      <w:pPr>
        <w:pStyle w:val="Heading1"/>
      </w:pPr>
    </w:p>
    <w:sectPr w:rsidR="00CD0FC2" w:rsidRPr="00851034" w:rsidSect="00580987">
      <w:headerReference w:type="default" r:id="rId16"/>
      <w:footerReference w:type="default" r:id="rId17"/>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50F0" w:rsidRDefault="000C50F0">
      <w:r>
        <w:separator/>
      </w:r>
    </w:p>
  </w:endnote>
  <w:endnote w:type="continuationSeparator" w:id="0">
    <w:p w:rsidR="000C50F0" w:rsidRDefault="000C50F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MS Y 10">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B70367">
    <w:pPr>
      <w:pStyle w:val="Footer"/>
      <w:tabs>
        <w:tab w:val="clear" w:pos="8640"/>
        <w:tab w:val="right" w:pos="10080"/>
      </w:tabs>
      <w:rPr>
        <w:i/>
        <w:snapToGrid w:val="0"/>
        <w:sz w:val="18"/>
        <w:szCs w:val="18"/>
      </w:rPr>
    </w:pPr>
    <w:r>
      <w:rPr>
        <w:i/>
        <w:sz w:val="18"/>
        <w:szCs w:val="18"/>
      </w:rPr>
      <w:t>201</w:t>
    </w:r>
    <w:r w:rsidR="00A96B5A">
      <w:rPr>
        <w:i/>
        <w:sz w:val="18"/>
        <w:szCs w:val="18"/>
      </w:rPr>
      <w:t>8</w:t>
    </w:r>
    <w:r w:rsidR="00FC789D">
      <w:rPr>
        <w:i/>
        <w:sz w:val="18"/>
        <w:szCs w:val="18"/>
      </w:rPr>
      <w:t xml:space="preserve"> Paper No. </w:t>
    </w:r>
    <w:proofErr w:type="gramStart"/>
    <w:r w:rsidR="00FC789D">
      <w:rPr>
        <w:i/>
        <w:sz w:val="18"/>
        <w:szCs w:val="18"/>
      </w:rPr>
      <w:t xml:space="preserve">56 </w:t>
    </w:r>
    <w:r w:rsidR="000A1DE4">
      <w:rPr>
        <w:i/>
        <w:sz w:val="18"/>
        <w:szCs w:val="18"/>
      </w:rPr>
      <w:t xml:space="preserve"> </w:t>
    </w:r>
    <w:r w:rsidR="000A1DE4">
      <w:rPr>
        <w:i/>
        <w:snapToGrid w:val="0"/>
        <w:sz w:val="18"/>
        <w:szCs w:val="18"/>
      </w:rPr>
      <w:t>Page</w:t>
    </w:r>
    <w:proofErr w:type="gramEnd"/>
    <w:r w:rsidR="000A1DE4">
      <w:rPr>
        <w:i/>
        <w:snapToGrid w:val="0"/>
        <w:sz w:val="18"/>
        <w:szCs w:val="18"/>
      </w:rPr>
      <w:t xml:space="preserve"> </w:t>
    </w:r>
    <w:r w:rsidR="00511585">
      <w:rPr>
        <w:i/>
        <w:snapToGrid w:val="0"/>
        <w:sz w:val="18"/>
        <w:szCs w:val="18"/>
      </w:rPr>
      <w:fldChar w:fldCharType="begin"/>
    </w:r>
    <w:r w:rsidR="000A1DE4">
      <w:rPr>
        <w:i/>
        <w:snapToGrid w:val="0"/>
        <w:sz w:val="18"/>
        <w:szCs w:val="18"/>
      </w:rPr>
      <w:instrText xml:space="preserve"> PAGE </w:instrText>
    </w:r>
    <w:r w:rsidR="00511585">
      <w:rPr>
        <w:i/>
        <w:snapToGrid w:val="0"/>
        <w:sz w:val="18"/>
        <w:szCs w:val="18"/>
      </w:rPr>
      <w:fldChar w:fldCharType="separate"/>
    </w:r>
    <w:r w:rsidR="00EB1C23">
      <w:rPr>
        <w:i/>
        <w:noProof/>
        <w:snapToGrid w:val="0"/>
        <w:sz w:val="18"/>
        <w:szCs w:val="18"/>
      </w:rPr>
      <w:t>4</w:t>
    </w:r>
    <w:r w:rsidR="00511585">
      <w:rPr>
        <w:i/>
        <w:snapToGrid w:val="0"/>
        <w:sz w:val="18"/>
        <w:szCs w:val="18"/>
      </w:rPr>
      <w:fldChar w:fldCharType="end"/>
    </w:r>
    <w:r w:rsidR="000A1DE4">
      <w:rPr>
        <w:i/>
        <w:snapToGrid w:val="0"/>
        <w:sz w:val="18"/>
        <w:szCs w:val="18"/>
      </w:rPr>
      <w:t xml:space="preserve"> of </w:t>
    </w:r>
    <w:r w:rsidR="00511585">
      <w:rPr>
        <w:i/>
        <w:snapToGrid w:val="0"/>
        <w:sz w:val="18"/>
        <w:szCs w:val="18"/>
      </w:rPr>
      <w:fldChar w:fldCharType="begin"/>
    </w:r>
    <w:r w:rsidR="000A1DE4">
      <w:rPr>
        <w:i/>
        <w:snapToGrid w:val="0"/>
        <w:sz w:val="18"/>
        <w:szCs w:val="18"/>
      </w:rPr>
      <w:instrText xml:space="preserve"> NUMPAGES </w:instrText>
    </w:r>
    <w:r w:rsidR="00511585">
      <w:rPr>
        <w:i/>
        <w:snapToGrid w:val="0"/>
        <w:sz w:val="18"/>
        <w:szCs w:val="18"/>
      </w:rPr>
      <w:fldChar w:fldCharType="separate"/>
    </w:r>
    <w:r w:rsidR="00EB1C23">
      <w:rPr>
        <w:i/>
        <w:noProof/>
        <w:snapToGrid w:val="0"/>
        <w:sz w:val="18"/>
        <w:szCs w:val="18"/>
      </w:rPr>
      <w:t>6</w:t>
    </w:r>
    <w:r w:rsidR="00511585">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50F0" w:rsidRDefault="000C50F0">
      <w:r>
        <w:separator/>
      </w:r>
    </w:p>
  </w:footnote>
  <w:footnote w:type="continuationSeparator" w:id="0">
    <w:p w:rsidR="000C50F0" w:rsidRDefault="000C50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Header"/>
      <w:ind w:right="-90"/>
      <w:jc w:val="right"/>
      <w:rPr>
        <w:i/>
        <w:iCs/>
        <w:sz w:val="16"/>
      </w:rPr>
    </w:pPr>
  </w:p>
  <w:p w:rsidR="000A1DE4" w:rsidRDefault="000A1DE4">
    <w:pPr>
      <w:pStyle w:val="Header"/>
      <w:jc w:val="right"/>
      <w:rPr>
        <w:i/>
        <w:iCs/>
        <w:sz w:val="16"/>
      </w:rPr>
    </w:pPr>
  </w:p>
  <w:p w:rsidR="000A1DE4" w:rsidRDefault="000A1DE4">
    <w:pPr>
      <w:pStyle w:val="Header"/>
      <w:jc w:val="right"/>
      <w:rPr>
        <w:i/>
        <w:iCs/>
        <w:sz w:val="18"/>
      </w:rPr>
    </w:pPr>
  </w:p>
  <w:p w:rsidR="000A1DE4" w:rsidRDefault="00FC39A4" w:rsidP="00754297">
    <w:pPr>
      <w:pStyle w:val="Header"/>
      <w:tabs>
        <w:tab w:val="clear" w:pos="8640"/>
        <w:tab w:val="left" w:pos="9360"/>
      </w:tabs>
      <w:jc w:val="right"/>
      <w:rPr>
        <w:i/>
        <w:iCs/>
        <w:sz w:val="18"/>
      </w:rPr>
    </w:pPr>
    <w:proofErr w:type="spellStart"/>
    <w:r>
      <w:rPr>
        <w:i/>
        <w:iCs/>
        <w:sz w:val="18"/>
      </w:rPr>
      <w:t>ModSim</w:t>
    </w:r>
    <w:proofErr w:type="spellEnd"/>
    <w:r w:rsidR="00FC789D">
      <w:rPr>
        <w:i/>
        <w:iCs/>
        <w:sz w:val="18"/>
      </w:rPr>
      <w:t xml:space="preserve"> World </w:t>
    </w:r>
    <w:r>
      <w:rPr>
        <w:i/>
        <w:iCs/>
        <w:sz w:val="18"/>
      </w:rPr>
      <w:t>2018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AC2615"/>
    <w:multiLevelType w:val="hybridMultilevel"/>
    <w:tmpl w:val="69A6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9C5B3C"/>
    <w:multiLevelType w:val="multilevel"/>
    <w:tmpl w:val="0409001D"/>
    <w:numStyleLink w:val="Style1"/>
  </w:abstractNum>
  <w:abstractNum w:abstractNumId="15">
    <w:nsid w:val="3B7A710B"/>
    <w:multiLevelType w:val="hybridMultilevel"/>
    <w:tmpl w:val="F438BA58"/>
    <w:lvl w:ilvl="0" w:tplc="2DC427CE">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A972C65"/>
    <w:multiLevelType w:val="hybridMultilevel"/>
    <w:tmpl w:val="91BAF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3051397"/>
    <w:multiLevelType w:val="hybridMultilevel"/>
    <w:tmpl w:val="CDD2965A"/>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66A80560"/>
    <w:multiLevelType w:val="hybridMultilevel"/>
    <w:tmpl w:val="CBB45E30"/>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3E717D"/>
    <w:multiLevelType w:val="multilevel"/>
    <w:tmpl w:val="565C5A7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3"/>
  </w:num>
  <w:num w:numId="3">
    <w:abstractNumId w:val="20"/>
  </w:num>
  <w:num w:numId="4">
    <w:abstractNumId w:val="14"/>
  </w:num>
  <w:num w:numId="5">
    <w:abstractNumId w:val="16"/>
  </w:num>
  <w:num w:numId="6">
    <w:abstractNumId w:val="12"/>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1"/>
  </w:num>
  <w:num w:numId="19">
    <w:abstractNumId w:val="11"/>
  </w:num>
  <w:num w:numId="20">
    <w:abstractNumId w:val="13"/>
  </w:num>
  <w:num w:numId="21">
    <w:abstractNumId w:val="15"/>
  </w:num>
  <w:num w:numId="22">
    <w:abstractNumId w:val="17"/>
  </w:num>
  <w:num w:numId="23">
    <w:abstractNumId w:val="22"/>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embedSystemFonts/>
  <w:proofState w:spelling="clean" w:grammar="clean"/>
  <w:attachedTemplate r:id="rId1"/>
  <w:stylePaneFormatFilter w:val="3F01"/>
  <w:defaultTabStop w:val="720"/>
  <w:autoHyphenation/>
  <w:displayHorizontalDrawingGridEvery w:val="0"/>
  <w:displayVerticalDrawingGridEvery w:val="0"/>
  <w:doNotUseMarginsForDrawingGridOrigin/>
  <w:noPunctuationKerning/>
  <w:characterSpacingControl w:val="doNotCompress"/>
  <w:hdrShapeDefaults>
    <o:shapedefaults v:ext="edit" spidmax="129026"/>
  </w:hdrShapeDefaults>
  <w:footnotePr>
    <w:footnote w:id="-1"/>
    <w:footnote w:id="0"/>
  </w:footnotePr>
  <w:endnotePr>
    <w:endnote w:id="-1"/>
    <w:endnote w:id="0"/>
  </w:endnotePr>
  <w:compat/>
  <w:rsids>
    <w:rsidRoot w:val="00960E20"/>
    <w:rsid w:val="00000E15"/>
    <w:rsid w:val="00001B2B"/>
    <w:rsid w:val="00007D0E"/>
    <w:rsid w:val="00012374"/>
    <w:rsid w:val="00013DF9"/>
    <w:rsid w:val="000228CB"/>
    <w:rsid w:val="0002582F"/>
    <w:rsid w:val="00036301"/>
    <w:rsid w:val="000413D5"/>
    <w:rsid w:val="000477E1"/>
    <w:rsid w:val="0005593A"/>
    <w:rsid w:val="0005739D"/>
    <w:rsid w:val="000612C8"/>
    <w:rsid w:val="00065002"/>
    <w:rsid w:val="00066D00"/>
    <w:rsid w:val="00066D1A"/>
    <w:rsid w:val="00070559"/>
    <w:rsid w:val="00074940"/>
    <w:rsid w:val="00075DB3"/>
    <w:rsid w:val="00087D35"/>
    <w:rsid w:val="000905FD"/>
    <w:rsid w:val="000A1DE4"/>
    <w:rsid w:val="000A767C"/>
    <w:rsid w:val="000C1C99"/>
    <w:rsid w:val="000C4F68"/>
    <w:rsid w:val="000C50F0"/>
    <w:rsid w:val="000D1496"/>
    <w:rsid w:val="000D660B"/>
    <w:rsid w:val="000F3D8C"/>
    <w:rsid w:val="000F49D9"/>
    <w:rsid w:val="000F62D1"/>
    <w:rsid w:val="00114BAC"/>
    <w:rsid w:val="00141C34"/>
    <w:rsid w:val="001424C9"/>
    <w:rsid w:val="00143ED5"/>
    <w:rsid w:val="00146BCC"/>
    <w:rsid w:val="00150BC4"/>
    <w:rsid w:val="001546C7"/>
    <w:rsid w:val="0016229C"/>
    <w:rsid w:val="0016391F"/>
    <w:rsid w:val="00164EE1"/>
    <w:rsid w:val="001674A1"/>
    <w:rsid w:val="001721DA"/>
    <w:rsid w:val="00187AD3"/>
    <w:rsid w:val="001925A8"/>
    <w:rsid w:val="001942F3"/>
    <w:rsid w:val="001A0CD1"/>
    <w:rsid w:val="001A6FD3"/>
    <w:rsid w:val="001B4B31"/>
    <w:rsid w:val="001B6B93"/>
    <w:rsid w:val="001C508A"/>
    <w:rsid w:val="001C607D"/>
    <w:rsid w:val="001D2BF0"/>
    <w:rsid w:val="001E0E90"/>
    <w:rsid w:val="001E266A"/>
    <w:rsid w:val="001E4009"/>
    <w:rsid w:val="001F4737"/>
    <w:rsid w:val="001F6771"/>
    <w:rsid w:val="001F71B8"/>
    <w:rsid w:val="00211BB8"/>
    <w:rsid w:val="00214B4E"/>
    <w:rsid w:val="002225D4"/>
    <w:rsid w:val="00222AE4"/>
    <w:rsid w:val="0022612C"/>
    <w:rsid w:val="002303BB"/>
    <w:rsid w:val="00236DDB"/>
    <w:rsid w:val="00237A3D"/>
    <w:rsid w:val="00240422"/>
    <w:rsid w:val="002410C8"/>
    <w:rsid w:val="00241C3F"/>
    <w:rsid w:val="00244B48"/>
    <w:rsid w:val="002508B9"/>
    <w:rsid w:val="00252D49"/>
    <w:rsid w:val="00255631"/>
    <w:rsid w:val="002557D9"/>
    <w:rsid w:val="00256D8E"/>
    <w:rsid w:val="00257473"/>
    <w:rsid w:val="0026399C"/>
    <w:rsid w:val="002644E5"/>
    <w:rsid w:val="00264D0C"/>
    <w:rsid w:val="00266860"/>
    <w:rsid w:val="002702DA"/>
    <w:rsid w:val="002853DC"/>
    <w:rsid w:val="002903AE"/>
    <w:rsid w:val="002912CD"/>
    <w:rsid w:val="002A26A2"/>
    <w:rsid w:val="002A7A5D"/>
    <w:rsid w:val="002A7BBB"/>
    <w:rsid w:val="002B0F45"/>
    <w:rsid w:val="002B226E"/>
    <w:rsid w:val="002B3A93"/>
    <w:rsid w:val="002B6BDF"/>
    <w:rsid w:val="002C398C"/>
    <w:rsid w:val="002D42D3"/>
    <w:rsid w:val="002E0771"/>
    <w:rsid w:val="002E383E"/>
    <w:rsid w:val="002E70B7"/>
    <w:rsid w:val="00326A21"/>
    <w:rsid w:val="00341EFA"/>
    <w:rsid w:val="00341FDC"/>
    <w:rsid w:val="00344FA1"/>
    <w:rsid w:val="003570EF"/>
    <w:rsid w:val="003572B1"/>
    <w:rsid w:val="00357FC7"/>
    <w:rsid w:val="0036195D"/>
    <w:rsid w:val="003779F6"/>
    <w:rsid w:val="0038763D"/>
    <w:rsid w:val="003929FC"/>
    <w:rsid w:val="00394854"/>
    <w:rsid w:val="00397434"/>
    <w:rsid w:val="003A4EEC"/>
    <w:rsid w:val="003A766C"/>
    <w:rsid w:val="003B0C0E"/>
    <w:rsid w:val="003B2FA9"/>
    <w:rsid w:val="003B3792"/>
    <w:rsid w:val="003C091C"/>
    <w:rsid w:val="003C2DE4"/>
    <w:rsid w:val="003C33B4"/>
    <w:rsid w:val="003C6343"/>
    <w:rsid w:val="003D2540"/>
    <w:rsid w:val="003D2A98"/>
    <w:rsid w:val="003D7A7A"/>
    <w:rsid w:val="003E3EAC"/>
    <w:rsid w:val="003F138E"/>
    <w:rsid w:val="003F2BB2"/>
    <w:rsid w:val="003F34CE"/>
    <w:rsid w:val="003F70FA"/>
    <w:rsid w:val="00400A41"/>
    <w:rsid w:val="0040733B"/>
    <w:rsid w:val="00414D08"/>
    <w:rsid w:val="004235A8"/>
    <w:rsid w:val="004256CC"/>
    <w:rsid w:val="0043042A"/>
    <w:rsid w:val="00432753"/>
    <w:rsid w:val="0044471B"/>
    <w:rsid w:val="00454FB0"/>
    <w:rsid w:val="0045657A"/>
    <w:rsid w:val="00457803"/>
    <w:rsid w:val="00463055"/>
    <w:rsid w:val="00465689"/>
    <w:rsid w:val="004728AB"/>
    <w:rsid w:val="00476289"/>
    <w:rsid w:val="00496623"/>
    <w:rsid w:val="004A1CF9"/>
    <w:rsid w:val="004B3027"/>
    <w:rsid w:val="004B794A"/>
    <w:rsid w:val="004C121F"/>
    <w:rsid w:val="004C3AC3"/>
    <w:rsid w:val="004D19AD"/>
    <w:rsid w:val="004D7C00"/>
    <w:rsid w:val="004E0F35"/>
    <w:rsid w:val="004E2016"/>
    <w:rsid w:val="004F0B48"/>
    <w:rsid w:val="004F10F4"/>
    <w:rsid w:val="004F5761"/>
    <w:rsid w:val="004F60D7"/>
    <w:rsid w:val="00511585"/>
    <w:rsid w:val="0051280E"/>
    <w:rsid w:val="00514745"/>
    <w:rsid w:val="005152B1"/>
    <w:rsid w:val="00520735"/>
    <w:rsid w:val="005228F5"/>
    <w:rsid w:val="00524817"/>
    <w:rsid w:val="00524901"/>
    <w:rsid w:val="00526F7B"/>
    <w:rsid w:val="00527868"/>
    <w:rsid w:val="005322A6"/>
    <w:rsid w:val="00533EBD"/>
    <w:rsid w:val="00534D91"/>
    <w:rsid w:val="005421A5"/>
    <w:rsid w:val="00546E68"/>
    <w:rsid w:val="00550480"/>
    <w:rsid w:val="00553B49"/>
    <w:rsid w:val="00560365"/>
    <w:rsid w:val="00564733"/>
    <w:rsid w:val="005654D2"/>
    <w:rsid w:val="00570A7A"/>
    <w:rsid w:val="00573611"/>
    <w:rsid w:val="005743F5"/>
    <w:rsid w:val="00574692"/>
    <w:rsid w:val="0057548A"/>
    <w:rsid w:val="00576088"/>
    <w:rsid w:val="00577930"/>
    <w:rsid w:val="00580987"/>
    <w:rsid w:val="00580EB1"/>
    <w:rsid w:val="005823F3"/>
    <w:rsid w:val="005840E5"/>
    <w:rsid w:val="005A2964"/>
    <w:rsid w:val="005A428B"/>
    <w:rsid w:val="005B5D2E"/>
    <w:rsid w:val="005B6481"/>
    <w:rsid w:val="005B6B1A"/>
    <w:rsid w:val="005B71CA"/>
    <w:rsid w:val="005B7EB5"/>
    <w:rsid w:val="005C3F0D"/>
    <w:rsid w:val="005D1B21"/>
    <w:rsid w:val="005D722B"/>
    <w:rsid w:val="005E4F99"/>
    <w:rsid w:val="006039BE"/>
    <w:rsid w:val="00616449"/>
    <w:rsid w:val="00617928"/>
    <w:rsid w:val="00617945"/>
    <w:rsid w:val="0062049B"/>
    <w:rsid w:val="006221FA"/>
    <w:rsid w:val="0062514C"/>
    <w:rsid w:val="00626594"/>
    <w:rsid w:val="00636C29"/>
    <w:rsid w:val="00643337"/>
    <w:rsid w:val="00646A17"/>
    <w:rsid w:val="00647950"/>
    <w:rsid w:val="006502A5"/>
    <w:rsid w:val="006537E5"/>
    <w:rsid w:val="00661B9A"/>
    <w:rsid w:val="006652FC"/>
    <w:rsid w:val="00672C1C"/>
    <w:rsid w:val="00674463"/>
    <w:rsid w:val="00675039"/>
    <w:rsid w:val="00675293"/>
    <w:rsid w:val="00676BBE"/>
    <w:rsid w:val="00694ECB"/>
    <w:rsid w:val="006A46AC"/>
    <w:rsid w:val="006B0887"/>
    <w:rsid w:val="006B0971"/>
    <w:rsid w:val="006B7AF1"/>
    <w:rsid w:val="006C12A7"/>
    <w:rsid w:val="006C46CB"/>
    <w:rsid w:val="006D3F05"/>
    <w:rsid w:val="006E6255"/>
    <w:rsid w:val="006F563C"/>
    <w:rsid w:val="00700B07"/>
    <w:rsid w:val="007024BE"/>
    <w:rsid w:val="007038B3"/>
    <w:rsid w:val="0071734F"/>
    <w:rsid w:val="007223B2"/>
    <w:rsid w:val="00723E3B"/>
    <w:rsid w:val="007247E1"/>
    <w:rsid w:val="00726031"/>
    <w:rsid w:val="0073672F"/>
    <w:rsid w:val="00743143"/>
    <w:rsid w:val="007500A3"/>
    <w:rsid w:val="0075308A"/>
    <w:rsid w:val="00754297"/>
    <w:rsid w:val="00755052"/>
    <w:rsid w:val="007557CA"/>
    <w:rsid w:val="007561F9"/>
    <w:rsid w:val="00762390"/>
    <w:rsid w:val="00764D77"/>
    <w:rsid w:val="007651DF"/>
    <w:rsid w:val="007678F8"/>
    <w:rsid w:val="007822A2"/>
    <w:rsid w:val="00782EFB"/>
    <w:rsid w:val="00786C4B"/>
    <w:rsid w:val="0079045B"/>
    <w:rsid w:val="007962D9"/>
    <w:rsid w:val="007A5312"/>
    <w:rsid w:val="007C1C8F"/>
    <w:rsid w:val="007C263F"/>
    <w:rsid w:val="007C606B"/>
    <w:rsid w:val="007D3F33"/>
    <w:rsid w:val="007D653E"/>
    <w:rsid w:val="007E2964"/>
    <w:rsid w:val="007E4DC6"/>
    <w:rsid w:val="007E4F2F"/>
    <w:rsid w:val="007E65E5"/>
    <w:rsid w:val="007F44C6"/>
    <w:rsid w:val="007F7393"/>
    <w:rsid w:val="008070F5"/>
    <w:rsid w:val="00810C67"/>
    <w:rsid w:val="008116E6"/>
    <w:rsid w:val="00827673"/>
    <w:rsid w:val="008369E8"/>
    <w:rsid w:val="00843927"/>
    <w:rsid w:val="00850E24"/>
    <w:rsid w:val="00851034"/>
    <w:rsid w:val="00851495"/>
    <w:rsid w:val="00856783"/>
    <w:rsid w:val="00860816"/>
    <w:rsid w:val="00862EB5"/>
    <w:rsid w:val="00866FC2"/>
    <w:rsid w:val="00870BF0"/>
    <w:rsid w:val="00871B17"/>
    <w:rsid w:val="0087315B"/>
    <w:rsid w:val="00873B59"/>
    <w:rsid w:val="00874FA4"/>
    <w:rsid w:val="0088452A"/>
    <w:rsid w:val="00890D30"/>
    <w:rsid w:val="00897658"/>
    <w:rsid w:val="008A147A"/>
    <w:rsid w:val="008A6277"/>
    <w:rsid w:val="008A7B3A"/>
    <w:rsid w:val="008B3589"/>
    <w:rsid w:val="008C1722"/>
    <w:rsid w:val="008C6AF8"/>
    <w:rsid w:val="008D129F"/>
    <w:rsid w:val="008D4E4A"/>
    <w:rsid w:val="008E4B22"/>
    <w:rsid w:val="008E583A"/>
    <w:rsid w:val="008E6450"/>
    <w:rsid w:val="008E7B15"/>
    <w:rsid w:val="008F3342"/>
    <w:rsid w:val="008F4711"/>
    <w:rsid w:val="008F4A7F"/>
    <w:rsid w:val="008F526A"/>
    <w:rsid w:val="008F6DCA"/>
    <w:rsid w:val="0090163A"/>
    <w:rsid w:val="009046EE"/>
    <w:rsid w:val="00911C41"/>
    <w:rsid w:val="0093017C"/>
    <w:rsid w:val="00932760"/>
    <w:rsid w:val="00932996"/>
    <w:rsid w:val="009370B9"/>
    <w:rsid w:val="00944BE8"/>
    <w:rsid w:val="00945EBA"/>
    <w:rsid w:val="009463B0"/>
    <w:rsid w:val="00956E5D"/>
    <w:rsid w:val="00960E20"/>
    <w:rsid w:val="009648EB"/>
    <w:rsid w:val="00965B07"/>
    <w:rsid w:val="00971F3D"/>
    <w:rsid w:val="00980717"/>
    <w:rsid w:val="009A12AC"/>
    <w:rsid w:val="009A2A2B"/>
    <w:rsid w:val="009A4C9D"/>
    <w:rsid w:val="009C1643"/>
    <w:rsid w:val="009C4AB9"/>
    <w:rsid w:val="009C7EAE"/>
    <w:rsid w:val="009D43E0"/>
    <w:rsid w:val="009E73D4"/>
    <w:rsid w:val="009F300B"/>
    <w:rsid w:val="009F4744"/>
    <w:rsid w:val="00A163F3"/>
    <w:rsid w:val="00A314C3"/>
    <w:rsid w:val="00A354E0"/>
    <w:rsid w:val="00A4442B"/>
    <w:rsid w:val="00A50643"/>
    <w:rsid w:val="00A512E9"/>
    <w:rsid w:val="00A54CD5"/>
    <w:rsid w:val="00A566D5"/>
    <w:rsid w:val="00A57CF2"/>
    <w:rsid w:val="00A62146"/>
    <w:rsid w:val="00A649C5"/>
    <w:rsid w:val="00A7039A"/>
    <w:rsid w:val="00A84D10"/>
    <w:rsid w:val="00A96B5A"/>
    <w:rsid w:val="00AA07F5"/>
    <w:rsid w:val="00AB3A67"/>
    <w:rsid w:val="00AD0B21"/>
    <w:rsid w:val="00AD1282"/>
    <w:rsid w:val="00AD2D9D"/>
    <w:rsid w:val="00AD4CCD"/>
    <w:rsid w:val="00AE4823"/>
    <w:rsid w:val="00AF1BD9"/>
    <w:rsid w:val="00AF3A40"/>
    <w:rsid w:val="00AF61A5"/>
    <w:rsid w:val="00AF6F25"/>
    <w:rsid w:val="00B0660E"/>
    <w:rsid w:val="00B077F4"/>
    <w:rsid w:val="00B22F59"/>
    <w:rsid w:val="00B30E27"/>
    <w:rsid w:val="00B32F4A"/>
    <w:rsid w:val="00B33B0E"/>
    <w:rsid w:val="00B4181E"/>
    <w:rsid w:val="00B44E32"/>
    <w:rsid w:val="00B50713"/>
    <w:rsid w:val="00B57685"/>
    <w:rsid w:val="00B57A4D"/>
    <w:rsid w:val="00B624F2"/>
    <w:rsid w:val="00B70367"/>
    <w:rsid w:val="00B81A59"/>
    <w:rsid w:val="00B8600C"/>
    <w:rsid w:val="00B90BEA"/>
    <w:rsid w:val="00B95E43"/>
    <w:rsid w:val="00BA1528"/>
    <w:rsid w:val="00BA3A6D"/>
    <w:rsid w:val="00BA6301"/>
    <w:rsid w:val="00BA7D6F"/>
    <w:rsid w:val="00BB00A3"/>
    <w:rsid w:val="00BB2066"/>
    <w:rsid w:val="00BC1CCF"/>
    <w:rsid w:val="00BC2595"/>
    <w:rsid w:val="00BC4002"/>
    <w:rsid w:val="00BD293C"/>
    <w:rsid w:val="00BE0D1E"/>
    <w:rsid w:val="00BE23B6"/>
    <w:rsid w:val="00BF0701"/>
    <w:rsid w:val="00BF1E56"/>
    <w:rsid w:val="00BF38C4"/>
    <w:rsid w:val="00BF3ACB"/>
    <w:rsid w:val="00BF6BE6"/>
    <w:rsid w:val="00BF7443"/>
    <w:rsid w:val="00C1008F"/>
    <w:rsid w:val="00C10A0B"/>
    <w:rsid w:val="00C2083B"/>
    <w:rsid w:val="00C218BC"/>
    <w:rsid w:val="00C245B0"/>
    <w:rsid w:val="00C32398"/>
    <w:rsid w:val="00C34006"/>
    <w:rsid w:val="00C3532D"/>
    <w:rsid w:val="00C45C09"/>
    <w:rsid w:val="00C475F0"/>
    <w:rsid w:val="00C51199"/>
    <w:rsid w:val="00C51CA6"/>
    <w:rsid w:val="00C53339"/>
    <w:rsid w:val="00C5408A"/>
    <w:rsid w:val="00C54CD1"/>
    <w:rsid w:val="00C54E27"/>
    <w:rsid w:val="00C55E20"/>
    <w:rsid w:val="00C619A4"/>
    <w:rsid w:val="00C66C3B"/>
    <w:rsid w:val="00C81B0D"/>
    <w:rsid w:val="00C84EF5"/>
    <w:rsid w:val="00C9057B"/>
    <w:rsid w:val="00CA31B4"/>
    <w:rsid w:val="00CA4571"/>
    <w:rsid w:val="00CA69E8"/>
    <w:rsid w:val="00CC0272"/>
    <w:rsid w:val="00CD01F7"/>
    <w:rsid w:val="00CD0FC2"/>
    <w:rsid w:val="00CD5128"/>
    <w:rsid w:val="00CE614A"/>
    <w:rsid w:val="00CE634C"/>
    <w:rsid w:val="00CF4E8F"/>
    <w:rsid w:val="00CF6760"/>
    <w:rsid w:val="00D02740"/>
    <w:rsid w:val="00D079ED"/>
    <w:rsid w:val="00D15856"/>
    <w:rsid w:val="00D25B5E"/>
    <w:rsid w:val="00D26937"/>
    <w:rsid w:val="00D33F31"/>
    <w:rsid w:val="00D416DA"/>
    <w:rsid w:val="00D60F26"/>
    <w:rsid w:val="00D63FE3"/>
    <w:rsid w:val="00D66E31"/>
    <w:rsid w:val="00D814EB"/>
    <w:rsid w:val="00D912FF"/>
    <w:rsid w:val="00D91DA8"/>
    <w:rsid w:val="00D93A9C"/>
    <w:rsid w:val="00D97AB7"/>
    <w:rsid w:val="00DA2496"/>
    <w:rsid w:val="00DA4AE3"/>
    <w:rsid w:val="00DB019D"/>
    <w:rsid w:val="00DB0C02"/>
    <w:rsid w:val="00DB1049"/>
    <w:rsid w:val="00DB6129"/>
    <w:rsid w:val="00DC591D"/>
    <w:rsid w:val="00DD2087"/>
    <w:rsid w:val="00DD508E"/>
    <w:rsid w:val="00DE1647"/>
    <w:rsid w:val="00DE7B9D"/>
    <w:rsid w:val="00DF0BB9"/>
    <w:rsid w:val="00DF124F"/>
    <w:rsid w:val="00E073C8"/>
    <w:rsid w:val="00E125AC"/>
    <w:rsid w:val="00E129F4"/>
    <w:rsid w:val="00E15381"/>
    <w:rsid w:val="00E17E24"/>
    <w:rsid w:val="00E25D74"/>
    <w:rsid w:val="00E33355"/>
    <w:rsid w:val="00E340AE"/>
    <w:rsid w:val="00E34147"/>
    <w:rsid w:val="00E50F56"/>
    <w:rsid w:val="00E50F9C"/>
    <w:rsid w:val="00E53A79"/>
    <w:rsid w:val="00E56AB8"/>
    <w:rsid w:val="00E62D04"/>
    <w:rsid w:val="00E6741F"/>
    <w:rsid w:val="00E72BF5"/>
    <w:rsid w:val="00E73C32"/>
    <w:rsid w:val="00E92D1E"/>
    <w:rsid w:val="00EA3E65"/>
    <w:rsid w:val="00EB03F4"/>
    <w:rsid w:val="00EB0F97"/>
    <w:rsid w:val="00EB1C23"/>
    <w:rsid w:val="00EC3FBB"/>
    <w:rsid w:val="00EE3DEC"/>
    <w:rsid w:val="00EF6333"/>
    <w:rsid w:val="00EF78A2"/>
    <w:rsid w:val="00F01C00"/>
    <w:rsid w:val="00F12494"/>
    <w:rsid w:val="00F16A87"/>
    <w:rsid w:val="00F212E2"/>
    <w:rsid w:val="00F22FD6"/>
    <w:rsid w:val="00F257E1"/>
    <w:rsid w:val="00F40242"/>
    <w:rsid w:val="00F438C6"/>
    <w:rsid w:val="00F44B0C"/>
    <w:rsid w:val="00F51A55"/>
    <w:rsid w:val="00F52D45"/>
    <w:rsid w:val="00F538B2"/>
    <w:rsid w:val="00F6583D"/>
    <w:rsid w:val="00F71E73"/>
    <w:rsid w:val="00F73271"/>
    <w:rsid w:val="00F77C36"/>
    <w:rsid w:val="00F937D4"/>
    <w:rsid w:val="00FB7893"/>
    <w:rsid w:val="00FC39A4"/>
    <w:rsid w:val="00FC789D"/>
    <w:rsid w:val="00FD111C"/>
    <w:rsid w:val="00FD6486"/>
    <w:rsid w:val="00FD7C71"/>
    <w:rsid w:val="00FE0628"/>
    <w:rsid w:val="00FF058E"/>
    <w:rsid w:val="00FF379C"/>
    <w:rsid w:val="00FF5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9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851034"/>
    <w:pPr>
      <w:keepNext/>
      <w:jc w:val="both"/>
      <w:outlineLvl w:val="0"/>
    </w:pPr>
    <w:rPr>
      <w:b/>
      <w:caps/>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p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 w:type="paragraph" w:customStyle="1" w:styleId="SIW-Ref">
    <w:name w:val="SIW-Ref"/>
    <w:basedOn w:val="BodyText"/>
    <w:link w:val="SIW-RefChar"/>
    <w:qFormat/>
    <w:rsid w:val="00BF0701"/>
    <w:pPr>
      <w:widowControl w:val="0"/>
      <w:numPr>
        <w:numId w:val="24"/>
      </w:numPr>
      <w:tabs>
        <w:tab w:val="left" w:pos="450"/>
      </w:tabs>
      <w:spacing w:before="120" w:line="250" w:lineRule="auto"/>
      <w:ind w:right="101"/>
    </w:pPr>
    <w:rPr>
      <w:rFonts w:eastAsia="CMS Y 10" w:cstheme="minorBidi"/>
      <w:b w:val="0"/>
      <w:color w:val="auto"/>
    </w:rPr>
  </w:style>
  <w:style w:type="character" w:customStyle="1" w:styleId="SIW-RefChar">
    <w:name w:val="SIW-Ref Char"/>
    <w:basedOn w:val="BodyTextChar"/>
    <w:link w:val="SIW-Ref"/>
    <w:rsid w:val="00BF0701"/>
    <w:rPr>
      <w:rFonts w:eastAsia="CMS Y 10" w:cstheme="minorBidi"/>
    </w:rPr>
  </w:style>
  <w:style w:type="paragraph" w:customStyle="1" w:styleId="IITSEC-Ref">
    <w:name w:val="IITSEC-Ref"/>
    <w:basedOn w:val="SIW-Ref"/>
    <w:link w:val="IITSEC-RefChar"/>
    <w:qFormat/>
    <w:rsid w:val="007561F9"/>
    <w:pPr>
      <w:keepLines/>
      <w:widowControl/>
      <w:numPr>
        <w:numId w:val="0"/>
      </w:numPr>
      <w:tabs>
        <w:tab w:val="clear" w:pos="450"/>
        <w:tab w:val="left" w:pos="540"/>
      </w:tabs>
      <w:ind w:left="374" w:right="187" w:hanging="187"/>
    </w:pPr>
  </w:style>
  <w:style w:type="character" w:customStyle="1" w:styleId="IITSEC-RefChar">
    <w:name w:val="IITSEC-Ref Char"/>
    <w:basedOn w:val="SIW-RefChar"/>
    <w:link w:val="IITSEC-Ref"/>
    <w:rsid w:val="007561F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284433977">
      <w:bodyDiv w:val="1"/>
      <w:marLeft w:val="0"/>
      <w:marRight w:val="0"/>
      <w:marTop w:val="0"/>
      <w:marBottom w:val="0"/>
      <w:divBdr>
        <w:top w:val="none" w:sz="0" w:space="0" w:color="auto"/>
        <w:left w:val="none" w:sz="0" w:space="0" w:color="auto"/>
        <w:bottom w:val="none" w:sz="0" w:space="0" w:color="auto"/>
        <w:right w:val="none" w:sz="0" w:space="0" w:color="auto"/>
      </w:divBdr>
    </w:div>
    <w:div w:id="685402104">
      <w:bodyDiv w:val="1"/>
      <w:marLeft w:val="0"/>
      <w:marRight w:val="0"/>
      <w:marTop w:val="0"/>
      <w:marBottom w:val="0"/>
      <w:divBdr>
        <w:top w:val="none" w:sz="0" w:space="0" w:color="auto"/>
        <w:left w:val="none" w:sz="0" w:space="0" w:color="auto"/>
        <w:bottom w:val="none" w:sz="0" w:space="0" w:color="auto"/>
        <w:right w:val="none" w:sz="0" w:space="0" w:color="auto"/>
      </w:divBdr>
    </w:div>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ntTable" Target="fontTable.xml"/><Relationship Id="rId26" Type="http://schemas.microsoft.com/office/2007/relationships/stylesWithEffects" Target="stylesWithEffects.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image" Target="media/image4.jpe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742D005A-8498-4BCD-9603-F171AB4C3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24</TotalTime>
  <Pages>6</Pages>
  <Words>3062</Words>
  <Characters>17457</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20479</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5</cp:revision>
  <cp:lastPrinted>2017-05-06T13:51:00Z</cp:lastPrinted>
  <dcterms:created xsi:type="dcterms:W3CDTF">2018-01-16T00:22:00Z</dcterms:created>
  <dcterms:modified xsi:type="dcterms:W3CDTF">2018-01-16T04:09:00Z</dcterms:modified>
</cp:coreProperties>
</file>