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pe</w:t>
      </w:r>
      <w:r w:rsidRPr="00C5408A">
        <w:rPr>
          <w:iCs/>
        </w:rPr>
        <w:t>r</w:t>
      </w:r>
      <w:r w:rsidRPr="00C5408A">
        <w:rPr>
          <w:iCs/>
        </w:rPr>
        <w:t xml:space="preserve">sonnel who are needed to </w:t>
      </w:r>
      <w:r w:rsidR="005654D2">
        <w:rPr>
          <w:iCs/>
        </w:rPr>
        <w:t>counsel personnel</w:t>
      </w:r>
      <w:r w:rsidRPr="00C5408A">
        <w:rPr>
          <w:iCs/>
        </w:rPr>
        <w:t>. One method that has demonstrable capability and has found utility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germane questions. These avatars can be either animated or live (via a large number of video clips). Early research and deve</w:t>
      </w:r>
      <w:r w:rsidRPr="00C5408A">
        <w:rPr>
          <w:iCs/>
        </w:rPr>
        <w:t>l</w:t>
      </w:r>
      <w:r w:rsidRPr="00C5408A">
        <w:rPr>
          <w:iCs/>
        </w:rPr>
        <w:t>opment has focused on “hand crafting” question lists, paraphrases, recording scripts, utterances, transcriptions, video editing, validation, testing, and updating. The administrative burden of all of this has begun to overshadow the scie</w:t>
      </w:r>
      <w:r w:rsidRPr="00C5408A">
        <w:rPr>
          <w:iCs/>
        </w:rPr>
        <w:t>n</w:t>
      </w:r>
      <w:r w:rsidRPr="00C5408A">
        <w:rPr>
          <w:iCs/>
        </w:rPr>
        <w:t xml:space="preserve">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w:t>
      </w:r>
      <w:r w:rsidRPr="00C5408A">
        <w:rPr>
          <w:iCs/>
        </w:rPr>
        <w:t>t</w:t>
      </w:r>
      <w:r w:rsidR="005654D2">
        <w:rPr>
          <w:iCs/>
        </w:rPr>
        <w:t>ed</w:t>
      </w:r>
      <w:r w:rsidRPr="00C5408A">
        <w:rPr>
          <w:iCs/>
        </w:rPr>
        <w:t xml:space="preserve">, the skills of system engineering are seen as </w:t>
      </w:r>
      <w:r w:rsidR="005654D2">
        <w:rPr>
          <w:iCs/>
        </w:rPr>
        <w:t xml:space="preserve">potential </w:t>
      </w:r>
      <w:r w:rsidRPr="00C5408A">
        <w:rPr>
          <w:iCs/>
        </w:rPr>
        <w:t>facilitators for optimizing the production process. This p</w:t>
      </w:r>
      <w:r w:rsidRPr="00C5408A">
        <w:rPr>
          <w:iCs/>
        </w:rPr>
        <w:t>a</w:t>
      </w:r>
      <w:r w:rsidRPr="00C5408A">
        <w:rPr>
          <w:iCs/>
        </w:rPr>
        <w:t xml:space="preserve">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techniques provide a real opportunity</w:t>
      </w:r>
      <w:r w:rsidR="005654D2" w:rsidRPr="00C5408A">
        <w:rPr>
          <w:iCs/>
        </w:rPr>
        <w:t xml:space="preserve"> in the </w:t>
      </w:r>
      <w:proofErr w:type="gramStart"/>
      <w:r w:rsidR="005654D2" w:rsidRPr="00C5408A">
        <w:rPr>
          <w:iCs/>
        </w:rPr>
        <w:t>DoD</w:t>
      </w:r>
      <w:proofErr w:type="gramEnd"/>
      <w:r w:rsidRPr="00C5408A">
        <w:rPr>
          <w:iCs/>
        </w:rPr>
        <w:t xml:space="preserve"> to make manifest the early successes demonstrated in research settings. Optimizing just the transcription phase would save significant amounts of implementation time. The paper then lays out both early r</w:t>
      </w:r>
      <w:r w:rsidRPr="00C5408A">
        <w:rPr>
          <w:iCs/>
        </w:rPr>
        <w:t>e</w:t>
      </w:r>
      <w:r w:rsidRPr="00C5408A">
        <w:rPr>
          <w:iCs/>
        </w:rPr>
        <w:t>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  It should be pointed out at the onset that this optimization work was not the directed focus of the project, but is an unfunded co</w:t>
      </w:r>
      <w:r>
        <w:t>n</w:t>
      </w:r>
      <w:r>
        <w:t>tribution of the staff members and of interested U.S. Naval officers, both active duty and reservists.  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and at any time on any day would make such information transfer more beneficial.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lastRenderedPageBreak/>
        <w:t>tive Technologies (ICT) is the home of myriad simulation projects, and it considers virtual reality to be its primary focus. Researchers at ICT have generated SimCoach, New Dimensions in Testimony (NDT), PAL3, MentorPAL,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t xml:space="preserve">     </w:t>
      </w:r>
      <w:r w:rsidR="00713316">
        <w:pict>
          <v:shapetype id="_x0000_t202" coordsize="21600,21600" o:spt="202" path="m,l,21600r21600,l21600,xe">
            <v:stroke joinstyle="miter"/>
            <v:path gradientshapeok="t" o:connecttype="rect"/>
          </v:shapetype>
          <v:shape id="_x0000_s1037" type="#_x0000_t202" style="width:157.4pt;height:152.15pt;mso-position-horizontal-relative:char;mso-position-vertical-relative:line;mso-width-relative:margin;mso-height-relative:margin" stroked="f">
            <v:textbox style="mso-next-textbox:#_x0000_s1037">
              <w:txbxContent>
                <w:p w:rsidR="00CD0FC2" w:rsidRDefault="00CD0FC2" w:rsidP="00CD0FC2">
                  <w:pPr>
                    <w:pStyle w:val="Caption"/>
                    <w:keepNext/>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00713316" w:rsidRPr="00B61338">
                    <w:rPr>
                      <w:color w:val="auto"/>
                    </w:rPr>
                    <w:fldChar w:fldCharType="begin"/>
                  </w:r>
                  <w:r w:rsidRPr="00B61338">
                    <w:rPr>
                      <w:color w:val="auto"/>
                    </w:rPr>
                    <w:instrText xml:space="preserve"> SEQ Figure \* ARABIC </w:instrText>
                  </w:r>
                  <w:r w:rsidR="00713316" w:rsidRPr="00B61338">
                    <w:rPr>
                      <w:color w:val="auto"/>
                    </w:rPr>
                    <w:fldChar w:fldCharType="separate"/>
                  </w:r>
                  <w:r w:rsidR="00FC0E73">
                    <w:rPr>
                      <w:noProof/>
                      <w:color w:val="auto"/>
                    </w:rPr>
                    <w:t>1</w:t>
                  </w:r>
                  <w:r w:rsidR="00713316"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rsidR="00713316">
        <w:pict>
          <v:shape id="_x0000_s1036" type="#_x0000_t202" style="width:166.35pt;height:156.5pt;mso-position-horizontal-relative:char;mso-position-vertical-relative:line;mso-width-relative:margin;mso-height-relative:margin" stroked="f">
            <v:textbox style="mso-next-textbox:#_x0000_s1036">
              <w:txbxContent>
                <w:p w:rsidR="00CD0FC2" w:rsidRDefault="00CD0FC2" w:rsidP="00CD0FC2">
                  <w:pPr>
                    <w:pStyle w:val="Caption"/>
                    <w:keepNext/>
                    <w:jc w:val="center"/>
                  </w:pPr>
                  <w:r w:rsidRPr="00D30BA0">
                    <w:rPr>
                      <w:noProof/>
                    </w:rPr>
                    <w:drawing>
                      <wp:inline distT="0" distB="0" distL="0" distR="0">
                        <wp:extent cx="1544436" cy="1345739"/>
                        <wp:effectExtent l="57150" t="57150" r="55764" b="63961"/>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548042" cy="1348881"/>
                                </a:xfrm>
                                <a:prstGeom prst="rect">
                                  <a:avLst/>
                                </a:prstGeom>
                                <a:ln w="635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00713316" w:rsidRPr="00B61338">
                    <w:rPr>
                      <w:color w:val="auto"/>
                    </w:rPr>
                    <w:fldChar w:fldCharType="begin"/>
                  </w:r>
                  <w:r w:rsidRPr="00B61338">
                    <w:rPr>
                      <w:color w:val="auto"/>
                    </w:rPr>
                    <w:instrText xml:space="preserve"> SEQ Figure \* ARABIC </w:instrText>
                  </w:r>
                  <w:r w:rsidR="00713316" w:rsidRPr="00B61338">
                    <w:rPr>
                      <w:color w:val="auto"/>
                    </w:rPr>
                    <w:fldChar w:fldCharType="separate"/>
                  </w:r>
                  <w:r w:rsidR="00FC0E73">
                    <w:rPr>
                      <w:noProof/>
                      <w:color w:val="auto"/>
                    </w:rPr>
                    <w:t>2</w:t>
                  </w:r>
                  <w:r w:rsidR="00713316"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r>
                  <w:r w:rsidR="00400A41">
                    <w:rPr>
                      <w:color w:val="auto"/>
                    </w:rPr>
                    <w:t xml:space="preserve">presented </w:t>
                  </w:r>
                  <w:r>
                    <w:rPr>
                      <w:color w:val="auto"/>
                    </w:rPr>
                    <w:t xml:space="preserve">on </w:t>
                  </w:r>
                  <w:r w:rsidR="00400A41">
                    <w:rPr>
                      <w:color w:val="auto"/>
                    </w:rPr>
                    <w:t xml:space="preserve">a </w:t>
                  </w:r>
                  <w:r>
                    <w:rPr>
                      <w:color w:val="auto"/>
                    </w:rPr>
                    <w:t xml:space="preserve">2-D monitor </w:t>
                  </w:r>
                </w:p>
                <w:p w:rsidR="00CD0FC2" w:rsidRDefault="00CD0FC2" w:rsidP="00CD0FC2"/>
              </w:txbxContent>
            </v:textbox>
            <w10:wrap type="none"/>
            <w10:anchorlock/>
          </v:shape>
        </w:pict>
      </w:r>
      <w:r>
        <w:t xml:space="preserve"> </w:t>
      </w:r>
      <w:r w:rsidR="00713316">
        <w:pict>
          <v:shape id="_x0000_s1035" type="#_x0000_t202" style="width:160.35pt;height:155.85pt;mso-position-horizontal-relative:char;mso-position-vertical-relative:line;mso-width-relative:margin;mso-height-relative:margin" stroked="f">
            <v:textbox style="mso-next-textbox:#_x0000_s1035">
              <w:txbxContent>
                <w:p w:rsidR="00CD0FC2" w:rsidRDefault="00CD0FC2" w:rsidP="00CD0FC2">
                  <w:pPr>
                    <w:keepNext/>
                    <w:tabs>
                      <w:tab w:val="left" w:pos="1386"/>
                    </w:tabs>
                    <w:jc w:val="center"/>
                  </w:pPr>
                  <w:r w:rsidRPr="00465689">
                    <w:rPr>
                      <w:noProof/>
                    </w:rPr>
                    <w:drawing>
                      <wp:inline distT="0" distB="0" distL="0" distR="0">
                        <wp:extent cx="1753651" cy="1359081"/>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3651" cy="1359081"/>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00713316" w:rsidRPr="00B61338">
                    <w:rPr>
                      <w:color w:val="auto"/>
                    </w:rPr>
                    <w:fldChar w:fldCharType="begin"/>
                  </w:r>
                  <w:r w:rsidRPr="00B61338">
                    <w:rPr>
                      <w:color w:val="auto"/>
                    </w:rPr>
                    <w:instrText xml:space="preserve"> SEQ Figure \* ARABIC </w:instrText>
                  </w:r>
                  <w:r w:rsidR="00713316" w:rsidRPr="00B61338">
                    <w:rPr>
                      <w:color w:val="auto"/>
                    </w:rPr>
                    <w:fldChar w:fldCharType="separate"/>
                  </w:r>
                  <w:r w:rsidR="00FC0E73">
                    <w:rPr>
                      <w:noProof/>
                      <w:color w:val="auto"/>
                    </w:rPr>
                    <w:t>3</w:t>
                  </w:r>
                  <w:r w:rsidR="00713316"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r w:rsidR="00BE0D1E">
        <w:t xml:space="preserve">Chowdhury, </w:t>
      </w:r>
      <w:r w:rsidR="002B226E" w:rsidRPr="00852988">
        <w:t>2003</w:t>
      </w:r>
      <w:r w:rsidR="002B226E">
        <w:t>)</w:t>
      </w:r>
      <w:r>
        <w:t>. Using this definition within the context of virtual environments, NLP tools allow computer technology to recognize voice input, analyze voice tone, provide lifelike conversation, retrieve info</w:t>
      </w:r>
      <w:r>
        <w:t>r</w:t>
      </w:r>
      <w:r>
        <w:t xml:space="preserve">mation, and many other applications in combination with machine learning.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w:t>
      </w:r>
      <w:proofErr w:type="gramStart"/>
      <w:r w:rsidR="00CD0FC2">
        <w:t>people</w:t>
      </w:r>
      <w:proofErr w:type="gramEnd"/>
      <w:r w:rsidR="00CD0FC2">
        <w:t xml:space="preserve"> to have an interactive conversation with a human storyteller (a Holocaust survivor) who has recorded a number of dialogue contributions (Figure 4), </w:t>
      </w:r>
    </w:p>
    <w:p w:rsidR="00CD0FC2" w:rsidRDefault="00713316"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00713316" w:rsidRPr="00BF0701">
                    <w:rPr>
                      <w:color w:val="auto"/>
                    </w:rPr>
                    <w:fldChar w:fldCharType="begin"/>
                  </w:r>
                  <w:r w:rsidRPr="00BF0701">
                    <w:rPr>
                      <w:color w:val="auto"/>
                    </w:rPr>
                    <w:instrText xml:space="preserve"> SEQ Figure \* ARABIC </w:instrText>
                  </w:r>
                  <w:r w:rsidR="00713316" w:rsidRPr="00BF0701">
                    <w:rPr>
                      <w:color w:val="auto"/>
                    </w:rPr>
                    <w:fldChar w:fldCharType="separate"/>
                  </w:r>
                  <w:r w:rsidR="00FC0E73">
                    <w:rPr>
                      <w:noProof/>
                      <w:color w:val="auto"/>
                    </w:rPr>
                    <w:t>4</w:t>
                  </w:r>
                  <w:r w:rsidR="00713316"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txbxContent>
            </v:textbox>
            <w10:wrap type="square"/>
          </v:shape>
        </w:pict>
      </w:r>
      <w:proofErr w:type="gramStart"/>
      <w:r w:rsidR="00CD0FC2">
        <w:t>including</w:t>
      </w:r>
      <w:proofErr w:type="gramEnd"/>
      <w:r w:rsidR="00CD0FC2">
        <w:t xml:space="preserve">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survivors can be applied to other important persons and historical sagas of value and interest. Advances in gaming allow for utilization in learning, entertainment, healthcare, and lifelike training for areas like combat, base security, rea</w:t>
      </w:r>
      <w:r w:rsidR="00CD0FC2">
        <w:t>c</w:t>
      </w:r>
      <w:r w:rsidR="00CD0FC2">
        <w:t>tion team strategy, medical emergency responses, interfaces with civilian populations, and critical thinking. The SimCoach system was developed to assist Post Traumatic Stress Disorder (PTSD) su</w:t>
      </w:r>
      <w:r w:rsidR="00CD0FC2">
        <w:t>b</w:t>
      </w:r>
      <w:r w:rsidR="00CD0FC2">
        <w:t xml:space="preserve">jects and to “motivate users to take the first step – to empower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applications.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 xml:space="preserve">selves. Or a true virtual assistant that obviates the need for an assistant might provide a radical shift in the way the </w:t>
      </w:r>
      <w:proofErr w:type="gramStart"/>
      <w:r>
        <w:t>DoD</w:t>
      </w:r>
      <w:proofErr w:type="gramEnd"/>
      <w:r>
        <w:t xml:space="preserve">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F538B2" w:rsidRDefault="00F538B2" w:rsidP="000905FD">
      <w:pPr>
        <w:jc w:val="both"/>
      </w:pPr>
      <w:r>
        <w:t xml:space="preserve">One of the needs identified by the </w:t>
      </w:r>
      <w:proofErr w:type="gramStart"/>
      <w:r>
        <w:t>DoD</w:t>
      </w:r>
      <w:proofErr w:type="gramEnd"/>
      <w:r>
        <w:t xml:space="preserve"> is 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w:t>
      </w:r>
      <w:r w:rsidR="00365828">
        <w:t xml:space="preserve"> (Nye, 2017)</w:t>
      </w:r>
      <w:r>
        <w:t>. There are several fac</w:t>
      </w:r>
      <w:r w:rsidR="00EB1C23">
        <w:t xml:space="preserve">tors that </w:t>
      </w:r>
      <w:r w:rsidR="006C6517">
        <w:t>militate</w:t>
      </w:r>
      <w:r w:rsidR="00EB1C23">
        <w:t xml:space="preserve"> against that availability of effective mentoring.  Some of the</w:t>
      </w:r>
      <w:r w:rsidR="006C6517">
        <w:t>se</w:t>
      </w:r>
      <w:r w:rsidR="00EB1C23">
        <w:t xml:space="preserve"> factors </w:t>
      </w:r>
      <w:r w:rsidR="006C6517">
        <w:t>were</w:t>
      </w:r>
      <w:r w:rsidR="00EB1C23">
        <w:t xml:space="preserve"> mentioned by education leaders who have given input into the Mentor PAL project</w:t>
      </w:r>
      <w:r w:rsidR="006C6517">
        <w:t xml:space="preserve">. </w:t>
      </w:r>
      <w:r w:rsidR="00EB1C23">
        <w:t xml:space="preserve"> </w:t>
      </w:r>
      <w:r w:rsidR="006C6517">
        <w:t>While ane</w:t>
      </w:r>
      <w:r w:rsidR="006C6517">
        <w:t>c</w:t>
      </w:r>
      <w:r w:rsidR="006C6517">
        <w:t>dotal, they are mentioned here.  Many of the counselors noted that a large portion of the population lives in widely dispersed small school districts around the country, many students live in lower Socio-Economic Status (SES) di</w:t>
      </w:r>
      <w:r w:rsidR="006C6517">
        <w:t>s</w:t>
      </w:r>
      <w:r w:rsidR="006C6517">
        <w:lastRenderedPageBreak/>
        <w:t>tricts in which few technical professionals live, many students are not amenable to face-to-face mentoring by profe</w:t>
      </w:r>
      <w:r w:rsidR="006C6517">
        <w:t>s</w:t>
      </w:r>
      <w:r w:rsidR="006C6517">
        <w:t>sio</w:t>
      </w:r>
      <w:r w:rsidR="006C6517">
        <w:t>n</w:t>
      </w:r>
      <w:r w:rsidR="006C6517">
        <w:t>als they find intimidating, and many who are available for mentoring have agendas of their own or are hampered by poor mento</w:t>
      </w:r>
      <w:r w:rsidR="006C6517">
        <w:t>r</w:t>
      </w:r>
      <w:r w:rsidR="006C6517">
        <w:t>ing s</w:t>
      </w:r>
      <w:r w:rsidR="000F41F5">
        <w:t>kills</w:t>
      </w:r>
      <w:r w:rsidR="006C6517">
        <w:t xml:space="preserve">. </w:t>
      </w:r>
    </w:p>
    <w:p w:rsidR="000F41F5" w:rsidRDefault="000F41F5" w:rsidP="000905FD">
      <w:pPr>
        <w:jc w:val="both"/>
      </w:pPr>
    </w:p>
    <w:p w:rsidR="00285E14" w:rsidRDefault="00713316" w:rsidP="000905FD">
      <w:pPr>
        <w:jc w:val="both"/>
      </w:pPr>
      <w:r>
        <w:rPr>
          <w:noProof/>
        </w:rPr>
        <w:pict>
          <v:shape id="_x0000_s1034" type="#_x0000_t202" style="position:absolute;left:0;text-align:left;margin-left:231.9pt;margin-top:163.8pt;width:235.85pt;height:30.7pt;z-index:251663360" stroked="f">
            <v:textbox style="mso-fit-shape-to-text:t" inset="0,0,0,0">
              <w:txbxContent>
                <w:p w:rsidR="00FC0E73" w:rsidRPr="00FC0E73" w:rsidRDefault="00FC0E73" w:rsidP="00FC0E73">
                  <w:pPr>
                    <w:pStyle w:val="Caption"/>
                    <w:jc w:val="center"/>
                    <w:rPr>
                      <w:noProof/>
                      <w:color w:val="auto"/>
                      <w:sz w:val="20"/>
                      <w:szCs w:val="20"/>
                    </w:rPr>
                  </w:pPr>
                  <w:r w:rsidRPr="00FC0E73">
                    <w:rPr>
                      <w:color w:val="auto"/>
                    </w:rPr>
                    <w:t xml:space="preserve">Figure </w:t>
                  </w:r>
                  <w:r w:rsidR="00713316" w:rsidRPr="00FC0E73">
                    <w:rPr>
                      <w:color w:val="auto"/>
                    </w:rPr>
                    <w:fldChar w:fldCharType="begin"/>
                  </w:r>
                  <w:r w:rsidRPr="00FC0E73">
                    <w:rPr>
                      <w:color w:val="auto"/>
                    </w:rPr>
                    <w:instrText xml:space="preserve"> SEQ Figure \* ARABIC </w:instrText>
                  </w:r>
                  <w:r w:rsidR="00713316" w:rsidRPr="00FC0E73">
                    <w:rPr>
                      <w:color w:val="auto"/>
                    </w:rPr>
                    <w:fldChar w:fldCharType="separate"/>
                  </w:r>
                  <w:r w:rsidRPr="00FC0E73">
                    <w:rPr>
                      <w:noProof/>
                      <w:color w:val="auto"/>
                    </w:rPr>
                    <w:t>5</w:t>
                  </w:r>
                  <w:r w:rsidR="00713316" w:rsidRPr="00FC0E73">
                    <w:rPr>
                      <w:color w:val="auto"/>
                    </w:rPr>
                    <w:fldChar w:fldCharType="end"/>
                  </w:r>
                  <w:r w:rsidRPr="00FC0E73">
                    <w:rPr>
                      <w:color w:val="auto"/>
                    </w:rPr>
                    <w:t xml:space="preserve"> – Two Senior High School Students Evaluate </w:t>
                  </w:r>
                  <w:r>
                    <w:rPr>
                      <w:color w:val="auto"/>
                    </w:rPr>
                    <w:br/>
                  </w:r>
                  <w:r w:rsidRPr="00FC0E73">
                    <w:rPr>
                      <w:color w:val="auto"/>
                    </w:rPr>
                    <w:t>Mentor PAL Advice from a Navy Chief Petty Officer</w:t>
                  </w:r>
                </w:p>
              </w:txbxContent>
            </v:textbox>
            <w10:wrap type="square"/>
          </v:shape>
        </w:pict>
      </w:r>
      <w:r w:rsidR="00DA1EAA">
        <w:rPr>
          <w:noProof/>
        </w:rPr>
        <w:drawing>
          <wp:anchor distT="0" distB="0" distL="114300" distR="114300" simplePos="0" relativeHeight="251661312" behindDoc="0" locked="0" layoutInCell="1" allowOverlap="1">
            <wp:simplePos x="0" y="0"/>
            <wp:positionH relativeFrom="column">
              <wp:posOffset>2945130</wp:posOffset>
            </wp:positionH>
            <wp:positionV relativeFrom="paragraph">
              <wp:posOffset>69215</wp:posOffset>
            </wp:positionV>
            <wp:extent cx="2995295" cy="1989455"/>
            <wp:effectExtent l="19050" t="0" r="0" b="0"/>
            <wp:wrapSquare wrapText="bothSides"/>
            <wp:docPr id="2" name="Picture 1" descr="StudentsReviewingMent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6"/>
                    <a:stretch>
                      <a:fillRect/>
                    </a:stretch>
                  </pic:blipFill>
                  <pic:spPr>
                    <a:xfrm>
                      <a:off x="0" y="0"/>
                      <a:ext cx="2995295" cy="1989455"/>
                    </a:xfrm>
                    <a:prstGeom prst="rect">
                      <a:avLst/>
                    </a:prstGeom>
                  </pic:spPr>
                </pic:pic>
              </a:graphicData>
            </a:graphic>
          </wp:anchor>
        </w:drawing>
      </w:r>
      <w:r w:rsidR="000F41F5">
        <w:t>ICT proposed to the Office of Naval Research that most of these problems could be ameliorated by using their co</w:t>
      </w:r>
      <w:r w:rsidR="000F41F5">
        <w:t>n</w:t>
      </w:r>
      <w:r w:rsidR="000F41F5">
        <w:t xml:space="preserve">versational VH technology and providing </w:t>
      </w:r>
      <w:r w:rsidR="00285E14">
        <w:t>compelling, engaging and validating mentoring which could be delivered by locally hosted programs or web-delivered client/server service.   It was proposed as being able to provide conve</w:t>
      </w:r>
      <w:r w:rsidR="00285E14">
        <w:t>r</w:t>
      </w:r>
      <w:r w:rsidR="00285E14">
        <w:t>sation-like mentoring to any student in any locality, in a non-threatening way, and by mentors who have been vetted as being “on-message” and personally engaging and insightful.  The program has been funded and initial mentor videota</w:t>
      </w:r>
      <w:r w:rsidR="00285E14">
        <w:t>p</w:t>
      </w:r>
      <w:r w:rsidR="00285E14">
        <w:t>ing and interface design has produced a working prot</w:t>
      </w:r>
      <w:r w:rsidR="00285E14">
        <w:t>o</w:t>
      </w:r>
      <w:r w:rsidR="00285E14">
        <w:t xml:space="preserve">type.  </w:t>
      </w:r>
      <w:r w:rsidR="00FC0E73">
        <w:t>Various versions of t</w:t>
      </w:r>
      <w:r w:rsidR="00285E14">
        <w:t>his prototype</w:t>
      </w:r>
      <w:r w:rsidR="00FC0E73">
        <w:t>, running on a Microsoft Surface tablet computer, have</w:t>
      </w:r>
      <w:r w:rsidR="00285E14">
        <w:t xml:space="preserve"> been assessed by a small number of pre-college students.  </w:t>
      </w:r>
      <w:r w:rsidR="00DA1EAA">
        <w:t>Input from the students affirmed both the need for the mentorships and the openness to the on-line mentor.</w:t>
      </w:r>
    </w:p>
    <w:p w:rsidR="00285E14" w:rsidRDefault="00285E14" w:rsidP="000905FD">
      <w:pPr>
        <w:jc w:val="both"/>
      </w:pPr>
    </w:p>
    <w:p w:rsidR="00285E14" w:rsidRDefault="00DA1EAA" w:rsidP="000905FD">
      <w:pPr>
        <w:jc w:val="both"/>
      </w:pPr>
      <w:r>
        <w:t>The procedure for creating such a conversational VH mentor involves a number of steps, in addition to the develo</w:t>
      </w:r>
      <w:r>
        <w:t>p</w:t>
      </w:r>
      <w:r>
        <w:t xml:space="preserve">ment and tuning of the </w:t>
      </w:r>
      <w:r w:rsidR="00C852BF">
        <w:t xml:space="preserve">software code that makes the program function.  Literally volumes have been written about how to system engineer large code programs, running all the way from general, almost philosophical approaches, e.g. Professor Fred Brooks book (Brooks, 1995) to more detailed and didactic tomes </w:t>
      </w:r>
      <w:r w:rsidR="009841BB">
        <w:t>(Pressman &amp; Maxim, 2005). However, for the more prosaic support functions, no such tomes are familiar to the simulation computer scientists that would assist in organizing their activities. Therefore, with more courage than confidence, they set up a series of steps to produce the videos, as are represented in column one of Table 1 below</w:t>
      </w:r>
      <w:r w:rsidR="00EF245C">
        <w:t xml:space="preserve"> showing estimates by two researc</w:t>
      </w:r>
      <w:r w:rsidR="00EF245C">
        <w:t>h</w:t>
      </w:r>
      <w:r w:rsidR="00EF245C">
        <w:t>ers, offering different configurations of the evolutions</w:t>
      </w:r>
      <w:r w:rsidR="009841BB">
        <w:t>.</w:t>
      </w:r>
    </w:p>
    <w:p w:rsidR="009841BB" w:rsidRDefault="009841BB" w:rsidP="000905FD">
      <w:pPr>
        <w:jc w:val="both"/>
      </w:pPr>
    </w:p>
    <w:p w:rsidR="00EF245C" w:rsidRPr="00EF245C" w:rsidRDefault="00EF245C" w:rsidP="00EF245C">
      <w:pPr>
        <w:pStyle w:val="Caption"/>
        <w:keepNext/>
        <w:jc w:val="center"/>
        <w:rPr>
          <w:color w:val="auto"/>
        </w:rPr>
      </w:pPr>
      <w:proofErr w:type="gramStart"/>
      <w:r w:rsidRPr="00EF245C">
        <w:rPr>
          <w:color w:val="auto"/>
        </w:rPr>
        <w:t xml:space="preserve">Table </w:t>
      </w:r>
      <w:r w:rsidR="00713316" w:rsidRPr="00EF245C">
        <w:rPr>
          <w:color w:val="auto"/>
        </w:rPr>
        <w:fldChar w:fldCharType="begin"/>
      </w:r>
      <w:r w:rsidRPr="00EF245C">
        <w:rPr>
          <w:color w:val="auto"/>
        </w:rPr>
        <w:instrText xml:space="preserve"> SEQ Table \* ARABIC </w:instrText>
      </w:r>
      <w:r w:rsidR="00713316" w:rsidRPr="00EF245C">
        <w:rPr>
          <w:color w:val="auto"/>
        </w:rPr>
        <w:fldChar w:fldCharType="separate"/>
      </w:r>
      <w:r w:rsidRPr="00EF245C">
        <w:rPr>
          <w:noProof/>
          <w:color w:val="auto"/>
        </w:rPr>
        <w:t>1</w:t>
      </w:r>
      <w:r w:rsidR="00713316" w:rsidRPr="00EF245C">
        <w:rPr>
          <w:color w:val="auto"/>
        </w:rPr>
        <w:fldChar w:fldCharType="end"/>
      </w:r>
      <w:r w:rsidRPr="00EF245C">
        <w:rPr>
          <w:color w:val="auto"/>
        </w:rPr>
        <w:t xml:space="preserve"> – Task List and Estimated Times based on Producing Two Mentor Video Series.</w:t>
      </w:r>
      <w:proofErr w:type="gramEnd"/>
    </w:p>
    <w:p w:rsidR="009841BB" w:rsidRDefault="009841BB" w:rsidP="000905FD">
      <w:pPr>
        <w:jc w:val="both"/>
      </w:pPr>
      <w:r>
        <w:rPr>
          <w:noProof/>
        </w:rPr>
        <w:drawing>
          <wp:inline distT="0" distB="0" distL="0" distR="0">
            <wp:extent cx="6088554" cy="2939209"/>
            <wp:effectExtent l="19050" t="0" r="7446" b="0"/>
            <wp:docPr id="3"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17"/>
                    <a:srcRect l="5455" t="15294" r="8182" b="30588"/>
                    <a:stretch>
                      <a:fillRect/>
                    </a:stretch>
                  </pic:blipFill>
                  <pic:spPr>
                    <a:xfrm>
                      <a:off x="0" y="0"/>
                      <a:ext cx="6094862" cy="2942254"/>
                    </a:xfrm>
                    <a:prstGeom prst="rect">
                      <a:avLst/>
                    </a:prstGeom>
                  </pic:spPr>
                </pic:pic>
              </a:graphicData>
            </a:graphic>
          </wp:inline>
        </w:drawing>
      </w:r>
    </w:p>
    <w:p w:rsidR="000905FD" w:rsidRDefault="000905FD" w:rsidP="000905FD">
      <w:pPr>
        <w:jc w:val="both"/>
      </w:pPr>
    </w:p>
    <w:p w:rsidR="0045789F" w:rsidRDefault="00EF245C" w:rsidP="000905FD">
      <w:pPr>
        <w:jc w:val="both"/>
      </w:pPr>
      <w:r>
        <w:t xml:space="preserve">It was at this point that those actually doing the production began to notice and decry the significant amount of time that was being invested in very tedious and unrewarding assignments. Optimization was done post hoc and ad hoc, </w:t>
      </w:r>
      <w:r>
        <w:lastRenderedPageBreak/>
        <w:t xml:space="preserve">as the researchers did not think that the small number of iterations justified a lot of time being invested in the </w:t>
      </w:r>
      <w:r w:rsidR="0045789F">
        <w:t>pr</w:t>
      </w:r>
      <w:r w:rsidR="0045789F">
        <w:t>o</w:t>
      </w:r>
      <w:r w:rsidR="0045789F">
        <w:t>cess to enhance the production.  However, it was realized that implementation by the Navy for a plethora of profe</w:t>
      </w:r>
      <w:r w:rsidR="0045789F">
        <w:t>s</w:t>
      </w:r>
      <w:r w:rsidR="0045789F">
        <w:t xml:space="preserve">sions would benefit from such an effort; further, consideration for other counseling uses would be more promising if such advocacy were to be accompanied by quantification of the price of production.  </w:t>
      </w:r>
      <w:r w:rsidR="008713D6">
        <w:t>It was at this point that the d</w:t>
      </w:r>
      <w:r w:rsidR="008713D6">
        <w:t>e</w:t>
      </w:r>
      <w:r w:rsidR="008713D6">
        <w:t>cision was made to seek out the input from System Engineers.</w:t>
      </w:r>
    </w:p>
    <w:p w:rsidR="00EF245C" w:rsidRDefault="0045789F" w:rsidP="000905FD">
      <w:pPr>
        <w:jc w:val="both"/>
      </w:pPr>
      <w:r>
        <w:t xml:space="preserve"> .</w:t>
      </w:r>
    </w:p>
    <w:p w:rsidR="00CD0FC2" w:rsidRDefault="00CD0FC2" w:rsidP="00CD0FC2">
      <w:pPr>
        <w:pStyle w:val="Heading1"/>
      </w:pPr>
      <w:r>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16391F" w:rsidRDefault="0016391F" w:rsidP="000905FD">
      <w:pPr>
        <w:jc w:val="both"/>
      </w:pPr>
    </w:p>
    <w:p w:rsidR="00E807FA" w:rsidRDefault="00E807FA" w:rsidP="0016391F">
      <w:pPr>
        <w:pStyle w:val="Heading2"/>
      </w:pPr>
    </w:p>
    <w:p w:rsidR="00E807FA" w:rsidRDefault="00E807FA" w:rsidP="0016391F">
      <w:pPr>
        <w:pStyle w:val="Heading2"/>
      </w:pPr>
    </w:p>
    <w:p w:rsidR="00E807FA" w:rsidRDefault="00E807FA" w:rsidP="0016391F">
      <w:pPr>
        <w:pStyle w:val="Heading2"/>
      </w:pPr>
    </w:p>
    <w:p w:rsidR="0016391F" w:rsidRDefault="0016391F" w:rsidP="0016391F">
      <w:pPr>
        <w:pStyle w:val="Heading2"/>
      </w:pPr>
      <w:r>
        <w:t>SE Tools Applicable to Mentor PAL</w:t>
      </w:r>
    </w:p>
    <w:p w:rsidR="0016391F" w:rsidRDefault="0016391F" w:rsidP="000905FD">
      <w:pPr>
        <w:jc w:val="both"/>
      </w:pPr>
    </w:p>
    <w:p w:rsidR="0016391F" w:rsidRDefault="0016391F" w:rsidP="000905FD">
      <w:pPr>
        <w:jc w:val="both"/>
      </w:pPr>
    </w:p>
    <w:p w:rsidR="0016391F" w:rsidRDefault="0016391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16391F" w:rsidRDefault="0016391F" w:rsidP="0016391F">
      <w:pPr>
        <w:pStyle w:val="Heading2"/>
      </w:pPr>
      <w:r>
        <w:t>Current Application Efforts</w:t>
      </w: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E807FA" w:rsidRDefault="00E807FA" w:rsidP="0016391F">
      <w:pPr>
        <w:pStyle w:val="Heading2"/>
      </w:pPr>
    </w:p>
    <w:p w:rsidR="00E807FA" w:rsidRDefault="00E807FA" w:rsidP="0016391F">
      <w:pPr>
        <w:pStyle w:val="Heading2"/>
      </w:pPr>
    </w:p>
    <w:p w:rsidR="00E807FA" w:rsidRDefault="00E807FA" w:rsidP="0016391F">
      <w:pPr>
        <w:pStyle w:val="Heading2"/>
      </w:pPr>
    </w:p>
    <w:p w:rsidR="0016391F" w:rsidRDefault="0016391F" w:rsidP="0016391F">
      <w:pPr>
        <w:pStyle w:val="Heading2"/>
      </w:pPr>
      <w:r>
        <w:t>Impact of SE on Mentor PAL to Date</w:t>
      </w:r>
    </w:p>
    <w:p w:rsidR="0016391F" w:rsidRDefault="0016391F" w:rsidP="000905FD">
      <w:pPr>
        <w:jc w:val="both"/>
      </w:pPr>
    </w:p>
    <w:p w:rsidR="0016391F" w:rsidRDefault="0016391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CD0FC2" w:rsidRDefault="00BF0701" w:rsidP="00BF0701">
      <w:pPr>
        <w:pStyle w:val="Heading1"/>
      </w:pPr>
      <w:r>
        <w:t>Analysis</w:t>
      </w:r>
    </w:p>
    <w:p w:rsidR="00BF0701" w:rsidRDefault="00BF0701" w:rsidP="000905FD">
      <w:pPr>
        <w:jc w:val="both"/>
      </w:pPr>
    </w:p>
    <w:p w:rsidR="00AC327B" w:rsidRDefault="00AC327B" w:rsidP="000905FD">
      <w:pPr>
        <w:jc w:val="both"/>
      </w:pPr>
      <w:r>
        <w:t>When this was all observed and considered, it seemed that there were good reasons to consider the application of some of these techniques and approaches in other research projects.  Further, larger projects with even more detailed and onerous procedures, it may warrant the recruitment of a System Engineer as a member of the research team.</w:t>
      </w:r>
    </w:p>
    <w:p w:rsidR="00AC327B" w:rsidRDefault="00AC327B" w:rsidP="000905FD">
      <w:pPr>
        <w:jc w:val="both"/>
      </w:pPr>
    </w:p>
    <w:p w:rsidR="00AC327B" w:rsidRDefault="00AC327B"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BF0701" w:rsidRDefault="00BF0701" w:rsidP="00BF0701">
      <w:pPr>
        <w:pStyle w:val="Heading1"/>
      </w:pPr>
      <w:r>
        <w:t>Conclusions</w:t>
      </w:r>
    </w:p>
    <w:p w:rsidR="00BF0701" w:rsidRDefault="00BF0701" w:rsidP="000905FD">
      <w:pPr>
        <w:jc w:val="both"/>
      </w:pPr>
    </w:p>
    <w:p w:rsidR="00FC64F4" w:rsidRDefault="00FC64F4" w:rsidP="000905FD">
      <w:pPr>
        <w:jc w:val="both"/>
      </w:pPr>
      <w:r>
        <w:t xml:space="preserve">The authors assert that the data presented above justify the careful consideration of the adoption of some of the tools described. </w:t>
      </w: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682F9F" w:rsidRDefault="00682F9F"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FC64F4" w:rsidRDefault="00FC64F4"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the two co-</w:t>
      </w:r>
      <w:r w:rsidR="00732FA6">
        <w:t>Principal</w:t>
      </w:r>
      <w:r>
        <w:t xml:space="preserve"> Investigators, William Swartout, PhD and Benjamin Nye, PhD.  Their counsel for us and patience with us were invaluable.  They contri</w:t>
      </w:r>
      <w:r>
        <w:t>b</w:t>
      </w:r>
      <w:r>
        <w:t>uted ideas and data that were included in the data listed above.</w:t>
      </w:r>
      <w:r w:rsidR="00682F9F">
        <w:t xml:space="preserve">  Much of the work described above was conducted in response to Office of Naval Research contract: </w:t>
      </w:r>
      <w:r w:rsidR="00682F9F" w:rsidRPr="00682F9F">
        <w:t>Mentor PAL: Growing STEM Pipelines with Personalized Dialogs with Virtual STEM Professionals, N00014-16-R-FO03</w:t>
      </w:r>
      <w:r w:rsidR="00682F9F">
        <w:t>.  The opinion</w:t>
      </w:r>
      <w:r w:rsidR="00AB1AA2">
        <w:t>s</w:t>
      </w:r>
      <w:r w:rsidR="00682F9F">
        <w:t xml:space="preserve"> expressed herein are the authors’ own and do not necessarily reflect those of the Department of the Navy or the U.S. Government.</w:t>
      </w:r>
    </w:p>
    <w:p w:rsidR="00FC64F4" w:rsidRDefault="00FC64F4" w:rsidP="000905FD">
      <w:pPr>
        <w:jc w:val="both"/>
      </w:pPr>
    </w:p>
    <w:p w:rsidR="00BF0701" w:rsidRDefault="00BF0701" w:rsidP="00BF0701">
      <w:pPr>
        <w:pStyle w:val="Heading1"/>
      </w:pPr>
      <w:r>
        <w:lastRenderedPageBreak/>
        <w:t xml:space="preserve">References </w:t>
      </w:r>
    </w:p>
    <w:p w:rsidR="00BF0701" w:rsidRDefault="00BF0701" w:rsidP="000905FD">
      <w:pPr>
        <w:jc w:val="both"/>
      </w:pPr>
    </w:p>
    <w:p w:rsidR="00BF0701" w:rsidRDefault="00BF0701" w:rsidP="007561F9">
      <w:pPr>
        <w:pStyle w:val="IITSEC-Ref"/>
      </w:pPr>
      <w:proofErr w:type="gramStart"/>
      <w:r w:rsidRPr="00BF0701">
        <w:t>Allwood, J., Traum, D., &amp; Jokinen, K. (2000).</w:t>
      </w:r>
      <w:proofErr w:type="gramEnd"/>
      <w:r w:rsidRPr="00BF0701">
        <w:t xml:space="preserve"> “Cooperation, Dialogue and Ethics.” </w:t>
      </w:r>
      <w:r w:rsidRPr="00674463">
        <w:rPr>
          <w:i/>
        </w:rPr>
        <w:t>International Journal of Human-Computer Studie</w:t>
      </w:r>
      <w:r w:rsidRPr="00BF0701">
        <w:t>s, 53(6), 871-914.</w:t>
      </w:r>
    </w:p>
    <w:p w:rsidR="00C852BF" w:rsidRPr="00BF0701" w:rsidRDefault="00C852BF" w:rsidP="00C852BF">
      <w:pPr>
        <w:pStyle w:val="IITSEC-Ref"/>
      </w:pPr>
      <w:r w:rsidRPr="00C852BF">
        <w:t xml:space="preserve">Brooks </w:t>
      </w:r>
      <w:proofErr w:type="spellStart"/>
      <w:r w:rsidRPr="00C852BF">
        <w:t>Jr</w:t>
      </w:r>
      <w:proofErr w:type="spellEnd"/>
      <w:r w:rsidRPr="00C852BF">
        <w:t>, Frederick P. (1995)</w:t>
      </w:r>
      <w:r>
        <w:t xml:space="preserve">, </w:t>
      </w:r>
      <w:r w:rsidRPr="00C852BF">
        <w:t>"</w:t>
      </w:r>
      <w:r w:rsidRPr="00C852BF">
        <w:rPr>
          <w:i/>
        </w:rPr>
        <w:t>The Mythical Man-Month</w:t>
      </w:r>
      <w:r w:rsidRPr="00C852BF">
        <w:t xml:space="preserve">." </w:t>
      </w:r>
      <w:proofErr w:type="gramStart"/>
      <w:r>
        <w:t xml:space="preserve">Anniversary Edition, </w:t>
      </w:r>
      <w:r w:rsidRPr="00C852BF">
        <w:t>Addison-Wesley Professio</w:t>
      </w:r>
      <w:r w:rsidRPr="00C852BF">
        <w:t>n</w:t>
      </w:r>
      <w:r w:rsidRPr="00C852BF">
        <w:t>a</w:t>
      </w:r>
      <w:r>
        <w:t>l, Boston, MA</w:t>
      </w:r>
      <w:r w:rsidRPr="00C852BF">
        <w:t>.</w:t>
      </w:r>
      <w:proofErr w:type="gramEnd"/>
    </w:p>
    <w:p w:rsidR="00BF0701" w:rsidRPr="00BF0701" w:rsidRDefault="00674463" w:rsidP="007561F9">
      <w:pPr>
        <w:pStyle w:val="IITSEC-Ref"/>
      </w:pPr>
      <w:r>
        <w:t>Chowdhury, G.</w:t>
      </w:r>
      <w:r w:rsidR="00BF0701" w:rsidRPr="00BF0701">
        <w:t xml:space="preserve"> (2003). </w:t>
      </w:r>
      <w:proofErr w:type="gramStart"/>
      <w:r w:rsidR="00BF0701" w:rsidRPr="00BF0701">
        <w:t>“Natural language processing.”</w:t>
      </w:r>
      <w:proofErr w:type="gramEnd"/>
      <w:r w:rsidR="00BF0701" w:rsidRPr="00BF0701">
        <w:t xml:space="preserve"> </w:t>
      </w:r>
      <w:r w:rsidR="00BF0701" w:rsidRPr="00674463">
        <w:rPr>
          <w:i/>
        </w:rPr>
        <w:t>Annual</w:t>
      </w:r>
      <w:r w:rsidR="00BF0701" w:rsidRPr="00BF0701">
        <w:t xml:space="preserve"> </w:t>
      </w:r>
      <w:r w:rsidR="00BF0701" w:rsidRPr="00674463">
        <w:rPr>
          <w:i/>
        </w:rPr>
        <w:t>review of information science and technology</w:t>
      </w:r>
      <w:r w:rsidR="00BF0701" w:rsidRPr="00BF0701">
        <w:t>, 37(1), 51-89.</w:t>
      </w:r>
    </w:p>
    <w:p w:rsidR="00BF0701" w:rsidRDefault="00BF0701" w:rsidP="007561F9">
      <w:pPr>
        <w:pStyle w:val="IITSEC-Ref"/>
      </w:pPr>
      <w:proofErr w:type="gramStart"/>
      <w:r w:rsidRPr="00BF0701">
        <w:t>Collobert, R., &amp; Weston, J. (2008, July).</w:t>
      </w:r>
      <w:proofErr w:type="gramEnd"/>
      <w:r w:rsidRPr="00BF0701">
        <w:t xml:space="preserve"> “A unified architecture for natural language processing: Deep neural networks with multitask learning.” </w:t>
      </w:r>
      <w:proofErr w:type="gramStart"/>
      <w:r w:rsidRPr="00BF0701">
        <w:t xml:space="preserve">In Proceedings of the </w:t>
      </w:r>
      <w:r w:rsidRPr="00674463">
        <w:rPr>
          <w:i/>
        </w:rPr>
        <w:t xml:space="preserve">25th international conference on Machine learning </w:t>
      </w:r>
      <w:r w:rsidRPr="00BF0701">
        <w:t>(pp. 160-167).</w:t>
      </w:r>
      <w:proofErr w:type="gramEnd"/>
      <w:r w:rsidRPr="00BF0701">
        <w:t xml:space="preserve"> </w:t>
      </w:r>
      <w:proofErr w:type="gramStart"/>
      <w:r w:rsidRPr="00BF0701">
        <w:t>ACM.</w:t>
      </w:r>
      <w:proofErr w:type="gramEnd"/>
    </w:p>
    <w:p w:rsidR="00674463" w:rsidRPr="00BF0701" w:rsidRDefault="00674463" w:rsidP="007561F9">
      <w:pPr>
        <w:pStyle w:val="IITSEC-Ref"/>
      </w:pPr>
      <w:r>
        <w:t xml:space="preserve">Gould, J. (2107), </w:t>
      </w:r>
      <w:r w:rsidRPr="00674463">
        <w:t>Military chiefs warn of force-readiness struggles</w:t>
      </w:r>
      <w:r>
        <w:t xml:space="preserve">, </w:t>
      </w:r>
      <w:r w:rsidRPr="00674463">
        <w:rPr>
          <w:i/>
        </w:rPr>
        <w:t>Defense News</w:t>
      </w:r>
      <w:r>
        <w:t xml:space="preserve">, Retrieved 15 January 2018 from:  </w:t>
      </w:r>
      <w:r w:rsidRPr="00674463">
        <w:t>https://www.defensenews.com/congress/2017/02/07/military-chiefs-warn-of-force-readiness-struggles/</w:t>
      </w:r>
    </w:p>
    <w:p w:rsidR="00BF0701" w:rsidRPr="00BF0701" w:rsidRDefault="00BF0701" w:rsidP="007561F9">
      <w:pPr>
        <w:pStyle w:val="IITSEC-Ref"/>
      </w:pPr>
      <w:proofErr w:type="gramStart"/>
      <w:r w:rsidRPr="00BF0701">
        <w:t>Kenny, P., Hartholt, A., Gratch, J., Swartout, W., Traum, D., Marsella, S., &amp; Piepol, D. (2007, November).</w:t>
      </w:r>
      <w:proofErr w:type="gramEnd"/>
      <w:r w:rsidRPr="00BF0701">
        <w:t xml:space="preserve"> </w:t>
      </w:r>
      <w:proofErr w:type="gramStart"/>
      <w:r w:rsidRPr="00BF0701">
        <w:t>“Building Interactive Virtual Humans for Training Environments.”</w:t>
      </w:r>
      <w:proofErr w:type="gramEnd"/>
      <w:r w:rsidRPr="00BF0701">
        <w:t xml:space="preserve"> </w:t>
      </w:r>
      <w:proofErr w:type="gramStart"/>
      <w:r w:rsidRPr="00BF0701">
        <w:t xml:space="preserve">In Proceedings of the </w:t>
      </w:r>
      <w:r w:rsidRPr="00BF0701">
        <w:rPr>
          <w:rStyle w:val="Emphasis"/>
        </w:rPr>
        <w:t>Interservice/Industry Simulation, Training and Education Conference</w:t>
      </w:r>
      <w:r w:rsidRPr="00BF0701">
        <w:t>, Orlando, Florida, 2007 (Vol. 174).</w:t>
      </w:r>
      <w:proofErr w:type="gramEnd"/>
    </w:p>
    <w:p w:rsidR="00BF0701" w:rsidRPr="00BF0701" w:rsidRDefault="00BF0701" w:rsidP="007561F9">
      <w:pPr>
        <w:pStyle w:val="IITSEC-Ref"/>
      </w:pPr>
      <w:r w:rsidRPr="00BF0701">
        <w:t xml:space="preserve">Kudryavtsev, Andrey. </w:t>
      </w:r>
      <w:proofErr w:type="gramStart"/>
      <w:r w:rsidRPr="00BF0701">
        <w:t>"Automatic Speech Recognition Services Comparison."</w:t>
      </w:r>
      <w:proofErr w:type="gramEnd"/>
      <w:r w:rsidRPr="00BF0701">
        <w:t xml:space="preserve"> </w:t>
      </w:r>
      <w:proofErr w:type="gramStart"/>
      <w:r w:rsidRPr="00674463">
        <w:rPr>
          <w:i/>
        </w:rPr>
        <w:t>Grid Designer's Blog</w:t>
      </w:r>
      <w:r w:rsidRPr="00BF0701">
        <w:t>.</w:t>
      </w:r>
      <w:proofErr w:type="gramEnd"/>
      <w:r w:rsidRPr="00BF0701">
        <w:t xml:space="preserve"> </w:t>
      </w:r>
      <w:proofErr w:type="gramStart"/>
      <w:r w:rsidRPr="00BF0701">
        <w:t>N.p</w:t>
      </w:r>
      <w:proofErr w:type="gramEnd"/>
      <w:r w:rsidRPr="00BF0701">
        <w:t>., 11 Jan. 2016.</w:t>
      </w:r>
      <w:r w:rsidR="00674463">
        <w:t xml:space="preserve"> </w:t>
      </w:r>
      <w:proofErr w:type="gramStart"/>
      <w:r w:rsidR="00674463">
        <w:t xml:space="preserve">Retrieved on 20 Apr. 2017 from: </w:t>
      </w:r>
      <w:r w:rsidRPr="00BF0701">
        <w:t>http://blog-archive.griddynamics.com/2016/01/automatic-s</w:t>
      </w:r>
      <w:r w:rsidR="00674463">
        <w:t>peech-recognition-services.html</w:t>
      </w:r>
      <w:r w:rsidRPr="00BF0701">
        <w:t>.</w:t>
      </w:r>
      <w:proofErr w:type="gramEnd"/>
    </w:p>
    <w:p w:rsidR="00BF0701" w:rsidRDefault="00BF0701" w:rsidP="007561F9">
      <w:pPr>
        <w:pStyle w:val="IITSEC-Ref"/>
      </w:pPr>
      <w:r w:rsidRPr="00BF0701">
        <w:t xml:space="preserve">Lee, K. F. (1988). </w:t>
      </w:r>
      <w:proofErr w:type="gramStart"/>
      <w:r w:rsidRPr="00BF0701">
        <w:t>“Automatic speech recognition: the development of the SPHINX system” (Vol. 62).</w:t>
      </w:r>
      <w:proofErr w:type="gramEnd"/>
      <w:r w:rsidRPr="00BF0701">
        <w:t xml:space="preserve"> </w:t>
      </w:r>
      <w:proofErr w:type="gramStart"/>
      <w:r w:rsidRPr="00674463">
        <w:rPr>
          <w:i/>
        </w:rPr>
        <w:t>Springer Science &amp; Business Media</w:t>
      </w:r>
      <w:r w:rsidRPr="00BF0701">
        <w:t>.</w:t>
      </w:r>
      <w:proofErr w:type="gramEnd"/>
    </w:p>
    <w:p w:rsidR="00365828" w:rsidRDefault="00365828" w:rsidP="007561F9">
      <w:pPr>
        <w:pStyle w:val="IITSEC-Ref"/>
      </w:pPr>
      <w:proofErr w:type="gramStart"/>
      <w:r>
        <w:t>Nye, B., Swartout, W., Campbell, J., Krishnamachari, M., Kaimakis, N. and Davis, D. (2017).</w:t>
      </w:r>
      <w:proofErr w:type="gramEnd"/>
      <w:r>
        <w:t xml:space="preserve"> "MentorPal: I</w:t>
      </w:r>
      <w:r>
        <w:t>n</w:t>
      </w:r>
      <w:r>
        <w:t xml:space="preserve">teractive Virtual Mentors Based on Real-Life STEM Professionals." in the Proceedings of the </w:t>
      </w:r>
      <w:r w:rsidRPr="00365828">
        <w:rPr>
          <w:i/>
        </w:rPr>
        <w:t>Interservice/Industry Simulation, Training and Education Conference,</w:t>
      </w:r>
      <w:r>
        <w:t xml:space="preserve"> Orlando, Florida, 2017</w:t>
      </w:r>
    </w:p>
    <w:p w:rsidR="007561F9" w:rsidRDefault="007561F9" w:rsidP="007561F9">
      <w:pPr>
        <w:pStyle w:val="IITSEC-Ref"/>
      </w:pPr>
      <w:proofErr w:type="gramStart"/>
      <w:r w:rsidRPr="007561F9">
        <w:t>Payne, S. C., &amp; Huffman, A. H. (2</w:t>
      </w:r>
      <w:r w:rsidR="00365828">
        <w:t>005).</w:t>
      </w:r>
      <w:proofErr w:type="gramEnd"/>
      <w:r w:rsidR="00365828">
        <w:t xml:space="preserve"> </w:t>
      </w:r>
      <w:proofErr w:type="gramStart"/>
      <w:r w:rsidR="00365828">
        <w:t>A longitudinal Examination of the Influence of Mentoring on O</w:t>
      </w:r>
      <w:r w:rsidRPr="007561F9">
        <w:t>rgan</w:t>
      </w:r>
      <w:r w:rsidRPr="007561F9">
        <w:t>i</w:t>
      </w:r>
      <w:r w:rsidRPr="007561F9">
        <w:t>za</w:t>
      </w:r>
      <w:r w:rsidR="00365828">
        <w:t>tional Commitment and T</w:t>
      </w:r>
      <w:r w:rsidRPr="007561F9">
        <w:t>urnover.</w:t>
      </w:r>
      <w:proofErr w:type="gramEnd"/>
      <w:r w:rsidRPr="007561F9">
        <w:t xml:space="preserve"> </w:t>
      </w:r>
      <w:r w:rsidRPr="007561F9">
        <w:rPr>
          <w:i/>
        </w:rPr>
        <w:t>Academy of Management Journal</w:t>
      </w:r>
      <w:r w:rsidRPr="007561F9">
        <w:t>, 48(1), 158-168.</w:t>
      </w:r>
    </w:p>
    <w:p w:rsidR="009841BB" w:rsidRPr="00BF0701" w:rsidRDefault="009841BB" w:rsidP="007561F9">
      <w:pPr>
        <w:pStyle w:val="IITSEC-Ref"/>
      </w:pPr>
      <w:proofErr w:type="gramStart"/>
      <w:r w:rsidRPr="009841BB">
        <w:t>Pressman, R. S.</w:t>
      </w:r>
      <w:r>
        <w:t xml:space="preserve"> &amp; Maxim, B.</w:t>
      </w:r>
      <w:r w:rsidRPr="009841BB">
        <w:t xml:space="preserve"> (2005).</w:t>
      </w:r>
      <w:proofErr w:type="gramEnd"/>
      <w:r w:rsidRPr="009841BB">
        <w:t xml:space="preserve"> </w:t>
      </w:r>
      <w:r w:rsidRPr="009841BB">
        <w:rPr>
          <w:i/>
        </w:rPr>
        <w:t>Software Engineering: a Practitioner's Approach</w:t>
      </w:r>
      <w:r w:rsidRPr="009841BB">
        <w:t>. Palgrave Macmillan</w:t>
      </w:r>
      <w:r>
        <w:t>, Basingstoke, UK</w:t>
      </w:r>
      <w:proofErr w:type="gramStart"/>
      <w:r>
        <w:t xml:space="preserve">, </w:t>
      </w:r>
      <w:r w:rsidRPr="009841BB">
        <w:t>.</w:t>
      </w:r>
      <w:proofErr w:type="gramEnd"/>
    </w:p>
    <w:p w:rsidR="00BF0701" w:rsidRPr="00BF0701" w:rsidRDefault="00BF0701" w:rsidP="007561F9">
      <w:pPr>
        <w:pStyle w:val="IITSEC-Ref"/>
      </w:pPr>
      <w:r w:rsidRPr="00BF0701">
        <w:t>Rizzo, A., Lange, B., Buckwalter, J. G., Forbell, E., Kim, J., Sagae, K</w:t>
      </w:r>
      <w:proofErr w:type="gramStart"/>
      <w:r w:rsidRPr="00BF0701">
        <w:t>., ...</w:t>
      </w:r>
      <w:proofErr w:type="gramEnd"/>
      <w:r w:rsidRPr="00BF0701">
        <w:t xml:space="preserve"> &amp; Parsons, T. (2011). “SimCoach: an Intelligent Virtual Human System for Providing Healthcare Information and Support.” </w:t>
      </w:r>
      <w:r w:rsidRPr="00674463">
        <w:rPr>
          <w:i/>
        </w:rPr>
        <w:t>International Journal on Disability and Human Development</w:t>
      </w:r>
      <w:r w:rsidRPr="00BF0701">
        <w:t>, 10(4), 277-281.</w:t>
      </w:r>
    </w:p>
    <w:p w:rsidR="00BF0701"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Satori, H, Harti, M., &amp; Chenfour, N. (2007).</w:t>
      </w:r>
      <w:proofErr w:type="gramEnd"/>
      <w:r w:rsidRPr="00BF0701">
        <w:t xml:space="preserve"> “Introduction to Arabic Speech Recognition using CMU Sphinx System.” </w:t>
      </w:r>
      <w:r w:rsidRPr="00674463">
        <w:rPr>
          <w:i/>
        </w:rPr>
        <w:t>arXiv preprint</w:t>
      </w:r>
      <w:r w:rsidRPr="00BF0701">
        <w:t xml:space="preserve"> arXiv</w:t>
      </w:r>
      <w:proofErr w:type="gramStart"/>
      <w:r w:rsidRPr="00BF0701">
        <w:t>:0704.2083</w:t>
      </w:r>
      <w:proofErr w:type="gramEnd"/>
      <w:r w:rsidRPr="00BF0701">
        <w:t>.</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Gratch, J., Hill Jr., R W., Hovy, E., Marsella, S., Rickel, J., &amp; Traum, D. (2006). “Toward Vi</w:t>
      </w:r>
      <w:r w:rsidRPr="00BF0701">
        <w:t>r</w:t>
      </w:r>
      <w:r w:rsidRPr="00BF0701">
        <w:t xml:space="preserve">tual Humans.” </w:t>
      </w:r>
      <w:r w:rsidRPr="00674463">
        <w:rPr>
          <w:i/>
        </w:rPr>
        <w:t>AI Magazine</w:t>
      </w:r>
      <w:r w:rsidRPr="00BF0701">
        <w:t>, 27(2), 96.</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Nye, B. D., Hartholt, A., Reilly, A., Graesser, A. C., VanLehn, K</w:t>
      </w:r>
      <w:proofErr w:type="gramStart"/>
      <w:r w:rsidRPr="00BF0701">
        <w:t>., ...</w:t>
      </w:r>
      <w:proofErr w:type="gramEnd"/>
      <w:r w:rsidRPr="00BF0701">
        <w:t xml:space="preserve"> &amp; Wang, L. (2016, March). “Designing a Personal Assistant for Life-Long Learning (PAL3).” </w:t>
      </w:r>
      <w:proofErr w:type="gramStart"/>
      <w:r w:rsidRPr="00BF0701">
        <w:t xml:space="preserve">In </w:t>
      </w:r>
      <w:r w:rsidRPr="00674463">
        <w:rPr>
          <w:i/>
        </w:rPr>
        <w:t>The Twenty-Ninth International Flairs Conference</w:t>
      </w:r>
      <w:r w:rsidRPr="00BF0701">
        <w:t>.</w:t>
      </w:r>
      <w:proofErr w:type="gramEnd"/>
    </w:p>
    <w:p w:rsidR="007561F9"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Traum, D., &amp; Rickel, J. (2002, July).</w:t>
      </w:r>
      <w:proofErr w:type="gramEnd"/>
      <w:r w:rsidRPr="00BF0701">
        <w:t xml:space="preserve"> “Embodied Agents for Multi-party Dialogue in Immersive Virtual Worlds.” In Proceedings of the first </w:t>
      </w:r>
      <w:r w:rsidRPr="00674463">
        <w:rPr>
          <w:i/>
        </w:rPr>
        <w:t>International Joint Conference on Autonomous Agents and Multi-agent Systems</w:t>
      </w:r>
      <w:r w:rsidRPr="00BF0701">
        <w:t xml:space="preserve">: part 2 (pp. 766-773). </w:t>
      </w:r>
      <w:proofErr w:type="gramStart"/>
      <w:r w:rsidRPr="00BF0701">
        <w:t>ACM.</w:t>
      </w:r>
      <w:proofErr w:type="gramEnd"/>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Traum, D., Jones, A., Hays, K., Maio, H., Alexander, O., Artstein, R., Debevec, P., Gainer, A., Georgila, K., Haase, K., Jungblut, K., Leuski, A., Smith, S., &amp; Jungblut, K. (2015, November). “New Dimensions in Te</w:t>
      </w:r>
      <w:r w:rsidRPr="00BF0701">
        <w:t>s</w:t>
      </w:r>
      <w:r w:rsidRPr="00BF0701">
        <w:t xml:space="preserve">timony: Digitally Preserving a Holocaust Survivor’s Interactive Storytelling.” </w:t>
      </w:r>
      <w:proofErr w:type="gramStart"/>
      <w:r w:rsidRPr="00BF0701">
        <w:t xml:space="preserve">In </w:t>
      </w:r>
      <w:r w:rsidRPr="00674463">
        <w:rPr>
          <w:i/>
        </w:rPr>
        <w:t>International Conference on Interactive Digital Storytelling</w:t>
      </w:r>
      <w:r w:rsidRPr="00BF0701">
        <w:t xml:space="preserve"> (pp. 269-281).</w:t>
      </w:r>
      <w:proofErr w:type="gramEnd"/>
      <w:r w:rsidRPr="00BF0701">
        <w:t xml:space="preserve"> </w:t>
      </w:r>
      <w:proofErr w:type="gramStart"/>
      <w:r w:rsidRPr="00BF0701">
        <w:t>“Springer International Publishing.</w:t>
      </w:r>
      <w:proofErr w:type="gramEnd"/>
    </w:p>
    <w:p w:rsidR="00BF0701" w:rsidRDefault="00BF0701" w:rsidP="007561F9">
      <w:pPr>
        <w:pStyle w:val="IITSEC-Ref"/>
      </w:pPr>
    </w:p>
    <w:p w:rsidR="00CD0FC2" w:rsidRDefault="00CD0FC2" w:rsidP="007561F9">
      <w:pPr>
        <w:pStyle w:val="IITSEC-Ref"/>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18"/>
      <w:footerReference w:type="default" r:id="rId19"/>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7CB" w:rsidRDefault="00BA17CB">
      <w:r>
        <w:separator/>
      </w:r>
    </w:p>
  </w:endnote>
  <w:endnote w:type="continuationSeparator" w:id="0">
    <w:p w:rsidR="00BA17CB" w:rsidRDefault="00BA17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713316">
      <w:rPr>
        <w:i/>
        <w:snapToGrid w:val="0"/>
        <w:sz w:val="18"/>
        <w:szCs w:val="18"/>
      </w:rPr>
      <w:fldChar w:fldCharType="begin"/>
    </w:r>
    <w:r w:rsidR="000A1DE4">
      <w:rPr>
        <w:i/>
        <w:snapToGrid w:val="0"/>
        <w:sz w:val="18"/>
        <w:szCs w:val="18"/>
      </w:rPr>
      <w:instrText xml:space="preserve"> PAGE </w:instrText>
    </w:r>
    <w:r w:rsidR="00713316">
      <w:rPr>
        <w:i/>
        <w:snapToGrid w:val="0"/>
        <w:sz w:val="18"/>
        <w:szCs w:val="18"/>
      </w:rPr>
      <w:fldChar w:fldCharType="separate"/>
    </w:r>
    <w:r w:rsidR="00AB1AA2">
      <w:rPr>
        <w:i/>
        <w:noProof/>
        <w:snapToGrid w:val="0"/>
        <w:sz w:val="18"/>
        <w:szCs w:val="18"/>
      </w:rPr>
      <w:t>10</w:t>
    </w:r>
    <w:r w:rsidR="00713316">
      <w:rPr>
        <w:i/>
        <w:snapToGrid w:val="0"/>
        <w:sz w:val="18"/>
        <w:szCs w:val="18"/>
      </w:rPr>
      <w:fldChar w:fldCharType="end"/>
    </w:r>
    <w:r w:rsidR="000A1DE4">
      <w:rPr>
        <w:i/>
        <w:snapToGrid w:val="0"/>
        <w:sz w:val="18"/>
        <w:szCs w:val="18"/>
      </w:rPr>
      <w:t xml:space="preserve"> of </w:t>
    </w:r>
    <w:r w:rsidR="00713316">
      <w:rPr>
        <w:i/>
        <w:snapToGrid w:val="0"/>
        <w:sz w:val="18"/>
        <w:szCs w:val="18"/>
      </w:rPr>
      <w:fldChar w:fldCharType="begin"/>
    </w:r>
    <w:r w:rsidR="000A1DE4">
      <w:rPr>
        <w:i/>
        <w:snapToGrid w:val="0"/>
        <w:sz w:val="18"/>
        <w:szCs w:val="18"/>
      </w:rPr>
      <w:instrText xml:space="preserve"> NUMPAGES </w:instrText>
    </w:r>
    <w:r w:rsidR="00713316">
      <w:rPr>
        <w:i/>
        <w:snapToGrid w:val="0"/>
        <w:sz w:val="18"/>
        <w:szCs w:val="18"/>
      </w:rPr>
      <w:fldChar w:fldCharType="separate"/>
    </w:r>
    <w:r w:rsidR="00AB1AA2">
      <w:rPr>
        <w:i/>
        <w:noProof/>
        <w:snapToGrid w:val="0"/>
        <w:sz w:val="18"/>
        <w:szCs w:val="18"/>
      </w:rPr>
      <w:t>12</w:t>
    </w:r>
    <w:r w:rsidR="0071331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7CB" w:rsidRDefault="00BA17CB">
      <w:r>
        <w:separator/>
      </w:r>
    </w:p>
  </w:footnote>
  <w:footnote w:type="continuationSeparator" w:id="0">
    <w:p w:rsidR="00BA17CB" w:rsidRDefault="00BA17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35170"/>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6301"/>
    <w:rsid w:val="000413D5"/>
    <w:rsid w:val="00045F9B"/>
    <w:rsid w:val="000477E1"/>
    <w:rsid w:val="0005593A"/>
    <w:rsid w:val="0005739D"/>
    <w:rsid w:val="000612C8"/>
    <w:rsid w:val="00065002"/>
    <w:rsid w:val="00066D00"/>
    <w:rsid w:val="00066D1A"/>
    <w:rsid w:val="00070559"/>
    <w:rsid w:val="000715DC"/>
    <w:rsid w:val="00074940"/>
    <w:rsid w:val="00075DB3"/>
    <w:rsid w:val="00087D35"/>
    <w:rsid w:val="000905FD"/>
    <w:rsid w:val="000A1DE4"/>
    <w:rsid w:val="000A767C"/>
    <w:rsid w:val="000C1C99"/>
    <w:rsid w:val="000C4F68"/>
    <w:rsid w:val="000C50F0"/>
    <w:rsid w:val="000D1496"/>
    <w:rsid w:val="000D660B"/>
    <w:rsid w:val="000F3D8C"/>
    <w:rsid w:val="000F41F5"/>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65828"/>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F138E"/>
    <w:rsid w:val="003F2BB2"/>
    <w:rsid w:val="003F34CE"/>
    <w:rsid w:val="003F70FA"/>
    <w:rsid w:val="00400A41"/>
    <w:rsid w:val="0040733B"/>
    <w:rsid w:val="00414D08"/>
    <w:rsid w:val="004235A8"/>
    <w:rsid w:val="004256CC"/>
    <w:rsid w:val="0043042A"/>
    <w:rsid w:val="00432753"/>
    <w:rsid w:val="0044471B"/>
    <w:rsid w:val="00454FB0"/>
    <w:rsid w:val="0045657A"/>
    <w:rsid w:val="00457803"/>
    <w:rsid w:val="0045789F"/>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2FBF"/>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4463"/>
    <w:rsid w:val="00675039"/>
    <w:rsid w:val="00675293"/>
    <w:rsid w:val="00676BBE"/>
    <w:rsid w:val="00682F9F"/>
    <w:rsid w:val="00694ECB"/>
    <w:rsid w:val="006A46AC"/>
    <w:rsid w:val="006B0887"/>
    <w:rsid w:val="006B0971"/>
    <w:rsid w:val="006B7AF1"/>
    <w:rsid w:val="006C12A7"/>
    <w:rsid w:val="006C46CB"/>
    <w:rsid w:val="006C6517"/>
    <w:rsid w:val="006D3F05"/>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62D9"/>
    <w:rsid w:val="007A5312"/>
    <w:rsid w:val="007C1C8F"/>
    <w:rsid w:val="007C263F"/>
    <w:rsid w:val="007C606B"/>
    <w:rsid w:val="007D3F33"/>
    <w:rsid w:val="007D653E"/>
    <w:rsid w:val="007E2964"/>
    <w:rsid w:val="007E4DC6"/>
    <w:rsid w:val="007E4F2F"/>
    <w:rsid w:val="007E65E5"/>
    <w:rsid w:val="007F44C6"/>
    <w:rsid w:val="007F7393"/>
    <w:rsid w:val="008070F5"/>
    <w:rsid w:val="00810C67"/>
    <w:rsid w:val="008116E6"/>
    <w:rsid w:val="00827673"/>
    <w:rsid w:val="008369E8"/>
    <w:rsid w:val="00843927"/>
    <w:rsid w:val="00850E24"/>
    <w:rsid w:val="00851034"/>
    <w:rsid w:val="00851495"/>
    <w:rsid w:val="00856783"/>
    <w:rsid w:val="00860816"/>
    <w:rsid w:val="00862EB5"/>
    <w:rsid w:val="00866FC2"/>
    <w:rsid w:val="00870BF0"/>
    <w:rsid w:val="008713D6"/>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48EB"/>
    <w:rsid w:val="00965B07"/>
    <w:rsid w:val="00971F3D"/>
    <w:rsid w:val="00980717"/>
    <w:rsid w:val="009841BB"/>
    <w:rsid w:val="009A12AC"/>
    <w:rsid w:val="009A2A2B"/>
    <w:rsid w:val="009A4C9D"/>
    <w:rsid w:val="009C1643"/>
    <w:rsid w:val="009C4AB9"/>
    <w:rsid w:val="009C7EAE"/>
    <w:rsid w:val="009D43E0"/>
    <w:rsid w:val="009E73D4"/>
    <w:rsid w:val="009F300B"/>
    <w:rsid w:val="009F4744"/>
    <w:rsid w:val="00A163F3"/>
    <w:rsid w:val="00A314C3"/>
    <w:rsid w:val="00A354E0"/>
    <w:rsid w:val="00A4442B"/>
    <w:rsid w:val="00A50643"/>
    <w:rsid w:val="00A512E9"/>
    <w:rsid w:val="00A54CD5"/>
    <w:rsid w:val="00A566D5"/>
    <w:rsid w:val="00A57CF2"/>
    <w:rsid w:val="00A62146"/>
    <w:rsid w:val="00A649C5"/>
    <w:rsid w:val="00A7039A"/>
    <w:rsid w:val="00A84D10"/>
    <w:rsid w:val="00A96B5A"/>
    <w:rsid w:val="00AA07F5"/>
    <w:rsid w:val="00AB1AA2"/>
    <w:rsid w:val="00AB3A67"/>
    <w:rsid w:val="00AC327B"/>
    <w:rsid w:val="00AD0B21"/>
    <w:rsid w:val="00AD1282"/>
    <w:rsid w:val="00AD2D9D"/>
    <w:rsid w:val="00AD4CCD"/>
    <w:rsid w:val="00AE4823"/>
    <w:rsid w:val="00AF1BD9"/>
    <w:rsid w:val="00AF3A40"/>
    <w:rsid w:val="00AF61A5"/>
    <w:rsid w:val="00AF6F25"/>
    <w:rsid w:val="00B0660E"/>
    <w:rsid w:val="00B077F4"/>
    <w:rsid w:val="00B22F59"/>
    <w:rsid w:val="00B30E27"/>
    <w:rsid w:val="00B32F4A"/>
    <w:rsid w:val="00B33B0E"/>
    <w:rsid w:val="00B4181E"/>
    <w:rsid w:val="00B44E32"/>
    <w:rsid w:val="00B50713"/>
    <w:rsid w:val="00B57685"/>
    <w:rsid w:val="00B57A4D"/>
    <w:rsid w:val="00B60E39"/>
    <w:rsid w:val="00B624F2"/>
    <w:rsid w:val="00B70367"/>
    <w:rsid w:val="00B81A59"/>
    <w:rsid w:val="00B8600C"/>
    <w:rsid w:val="00B90BEA"/>
    <w:rsid w:val="00B95E43"/>
    <w:rsid w:val="00BA1528"/>
    <w:rsid w:val="00BA17CB"/>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852BF"/>
    <w:rsid w:val="00C9057B"/>
    <w:rsid w:val="00CA31B4"/>
    <w:rsid w:val="00CA4571"/>
    <w:rsid w:val="00CA69E8"/>
    <w:rsid w:val="00CC0272"/>
    <w:rsid w:val="00CD01F7"/>
    <w:rsid w:val="00CD0FC2"/>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1EAA"/>
    <w:rsid w:val="00DA2496"/>
    <w:rsid w:val="00DA4AE3"/>
    <w:rsid w:val="00DB019D"/>
    <w:rsid w:val="00DB0C02"/>
    <w:rsid w:val="00DB1049"/>
    <w:rsid w:val="00DB6129"/>
    <w:rsid w:val="00DC591D"/>
    <w:rsid w:val="00DD2087"/>
    <w:rsid w:val="00DD508E"/>
    <w:rsid w:val="00DE1647"/>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3A79"/>
    <w:rsid w:val="00E56AB8"/>
    <w:rsid w:val="00E62D04"/>
    <w:rsid w:val="00E6741F"/>
    <w:rsid w:val="00E72BF5"/>
    <w:rsid w:val="00E73C32"/>
    <w:rsid w:val="00E807FA"/>
    <w:rsid w:val="00E92D1E"/>
    <w:rsid w:val="00EA3E65"/>
    <w:rsid w:val="00EB03F4"/>
    <w:rsid w:val="00EB0F97"/>
    <w:rsid w:val="00EB1C23"/>
    <w:rsid w:val="00EC3FBB"/>
    <w:rsid w:val="00EE3DEC"/>
    <w:rsid w:val="00EF245C"/>
    <w:rsid w:val="00EF6333"/>
    <w:rsid w:val="00EF78A2"/>
    <w:rsid w:val="00F01C00"/>
    <w:rsid w:val="00F12494"/>
    <w:rsid w:val="00F16A87"/>
    <w:rsid w:val="00F212E2"/>
    <w:rsid w:val="00F22FD6"/>
    <w:rsid w:val="00F257E1"/>
    <w:rsid w:val="00F40242"/>
    <w:rsid w:val="00F438C6"/>
    <w:rsid w:val="00F44B0C"/>
    <w:rsid w:val="00F51A55"/>
    <w:rsid w:val="00F52D45"/>
    <w:rsid w:val="00F538B2"/>
    <w:rsid w:val="00F6583D"/>
    <w:rsid w:val="00F71E73"/>
    <w:rsid w:val="00F73271"/>
    <w:rsid w:val="00F77C36"/>
    <w:rsid w:val="00F937D4"/>
    <w:rsid w:val="00FB7893"/>
    <w:rsid w:val="00FC0E73"/>
    <w:rsid w:val="00FC39A4"/>
    <w:rsid w:val="00FC64F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525B029-3D55-4D8C-8B45-BCD6E4E04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23</TotalTime>
  <Pages>12</Pages>
  <Words>3808</Words>
  <Characters>21709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25467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7</cp:revision>
  <cp:lastPrinted>2017-05-06T13:51:00Z</cp:lastPrinted>
  <dcterms:created xsi:type="dcterms:W3CDTF">2018-01-16T07:34:00Z</dcterms:created>
  <dcterms:modified xsi:type="dcterms:W3CDTF">2018-01-16T07:58:00Z</dcterms:modified>
</cp:coreProperties>
</file>