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pe</w:t>
      </w:r>
      <w:r w:rsidRPr="00C5408A">
        <w:rPr>
          <w:iCs/>
        </w:rPr>
        <w:t>r</w:t>
      </w:r>
      <w:r w:rsidRPr="00C5408A">
        <w:rPr>
          <w:iCs/>
        </w:rPr>
        <w:t xml:space="preserve">sonnel who are needed to </w:t>
      </w:r>
      <w:r w:rsidR="005654D2">
        <w:rPr>
          <w:iCs/>
        </w:rPr>
        <w:t>counsel personnel</w:t>
      </w:r>
      <w:r w:rsidRPr="00C5408A">
        <w:rPr>
          <w:iCs/>
        </w:rPr>
        <w:t>. One method that has demonstrable capability and has found utility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germane questions. These avatars can be either animated or live (via a large number of video clips). Early research and deve</w:t>
      </w:r>
      <w:r w:rsidRPr="00C5408A">
        <w:rPr>
          <w:iCs/>
        </w:rPr>
        <w:t>l</w:t>
      </w:r>
      <w:r w:rsidRPr="00C5408A">
        <w:rPr>
          <w:iCs/>
        </w:rPr>
        <w:t>opment has focused on “hand crafting” question lists, paraphrases, recording scripts, utterances, transcriptions, video editing, validation, testing, and updating. The administrative burden of all of this has begun to overshadow the scie</w:t>
      </w:r>
      <w:r w:rsidRPr="00C5408A">
        <w:rPr>
          <w:iCs/>
        </w:rPr>
        <w:t>n</w:t>
      </w:r>
      <w:r w:rsidRPr="00C5408A">
        <w:rPr>
          <w:iCs/>
        </w:rPr>
        <w:t xml:space="preserve">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w:t>
      </w:r>
      <w:r w:rsidRPr="00C5408A">
        <w:rPr>
          <w:iCs/>
        </w:rPr>
        <w:t>t</w:t>
      </w:r>
      <w:r w:rsidR="005654D2">
        <w:rPr>
          <w:iCs/>
        </w:rPr>
        <w:t>ed</w:t>
      </w:r>
      <w:r w:rsidRPr="00C5408A">
        <w:rPr>
          <w:iCs/>
        </w:rPr>
        <w:t xml:space="preserve">, the skills of system engineering are seen as </w:t>
      </w:r>
      <w:r w:rsidR="005654D2">
        <w:rPr>
          <w:iCs/>
        </w:rPr>
        <w:t xml:space="preserve">potential </w:t>
      </w:r>
      <w:r w:rsidRPr="00C5408A">
        <w:rPr>
          <w:iCs/>
        </w:rPr>
        <w:t>facilitators for optimizing the production process. This p</w:t>
      </w:r>
      <w:r w:rsidRPr="00C5408A">
        <w:rPr>
          <w:iCs/>
        </w:rPr>
        <w:t>a</w:t>
      </w:r>
      <w:r w:rsidRPr="00C5408A">
        <w:rPr>
          <w:iCs/>
        </w:rPr>
        <w:t xml:space="preserve">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techniques provide a real opportunity</w:t>
      </w:r>
      <w:r w:rsidR="005654D2" w:rsidRPr="00C5408A">
        <w:rPr>
          <w:iCs/>
        </w:rPr>
        <w:t xml:space="preserve"> in the DoD</w:t>
      </w:r>
      <w:r w:rsidRPr="00C5408A">
        <w:rPr>
          <w:iCs/>
        </w:rPr>
        <w:t xml:space="preserve"> to make manifest the early successes demonstrated in research settings. Optimizing just the transcription phase would save significant amounts of implementation time. The paper then lays out both early r</w:t>
      </w:r>
      <w:r w:rsidRPr="00C5408A">
        <w:rPr>
          <w:iCs/>
        </w:rPr>
        <w:t>e</w:t>
      </w:r>
      <w:r w:rsidRPr="00C5408A">
        <w:rPr>
          <w:iCs/>
        </w:rPr>
        <w:t>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  It should be pointed out at the onset that this optimization work was not the directed focus of the project, but is an unfunded co</w:t>
      </w:r>
      <w:r>
        <w:t>n</w:t>
      </w:r>
      <w:r>
        <w:t>tribution of the staff members and of interested U.S. Naval officers, both active duty and reservists.  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and at any time on any day would make such information transfer more beneficial.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lastRenderedPageBreak/>
        <w:t>tive Technologies (ICT) is the home of myriad simulation projects, and it considers virtual reality to be its primary focus. Researchers at ICT have generated SimCoach, New Dimensions in Testimony (NDT), PAL3, MentorPAL,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t xml:space="preserve">     </w:t>
      </w:r>
      <w:r w:rsidR="00EF315D">
        <w:pict>
          <v:shapetype id="_x0000_t202" coordsize="21600,21600" o:spt="202" path="m,l,21600r21600,l21600,xe">
            <v:stroke joinstyle="miter"/>
            <v:path gradientshapeok="t" o:connecttype="rect"/>
          </v:shapetype>
          <v:shape id="_x0000_s1037" type="#_x0000_t202" style="width:157.4pt;height:152.15pt;mso-position-horizontal-relative:char;mso-position-vertical-relative:line;mso-width-relative:margin;mso-height-relative:margin" stroked="f">
            <v:textbox style="mso-next-textbox:#_x0000_s1037">
              <w:txbxContent>
                <w:p w:rsidR="00CD0FC2" w:rsidRDefault="00CD0FC2" w:rsidP="00CD0FC2">
                  <w:pPr>
                    <w:pStyle w:val="Caption"/>
                    <w:keepNext/>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00EF315D" w:rsidRPr="00B61338">
                    <w:rPr>
                      <w:color w:val="auto"/>
                    </w:rPr>
                    <w:fldChar w:fldCharType="begin"/>
                  </w:r>
                  <w:r w:rsidRPr="00B61338">
                    <w:rPr>
                      <w:color w:val="auto"/>
                    </w:rPr>
                    <w:instrText xml:space="preserve"> SEQ Figure \* ARABIC </w:instrText>
                  </w:r>
                  <w:r w:rsidR="00EF315D" w:rsidRPr="00B61338">
                    <w:rPr>
                      <w:color w:val="auto"/>
                    </w:rPr>
                    <w:fldChar w:fldCharType="separate"/>
                  </w:r>
                  <w:r w:rsidR="00E803AC">
                    <w:rPr>
                      <w:noProof/>
                      <w:color w:val="auto"/>
                    </w:rPr>
                    <w:t>1</w:t>
                  </w:r>
                  <w:r w:rsidR="00EF315D"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rsidR="00EF315D">
        <w:pict>
          <v:shape id="_x0000_s1036" type="#_x0000_t202" style="width:166.35pt;height:156.5pt;mso-position-horizontal-relative:char;mso-position-vertical-relative:line;mso-width-relative:margin;mso-height-relative:margin" stroked="f">
            <v:textbox style="mso-next-textbox:#_x0000_s1036">
              <w:txbxContent>
                <w:p w:rsidR="00CD0FC2" w:rsidRDefault="00CD0FC2" w:rsidP="00CD0FC2">
                  <w:pPr>
                    <w:pStyle w:val="Caption"/>
                    <w:keepNext/>
                    <w:jc w:val="center"/>
                  </w:pPr>
                  <w:r w:rsidRPr="00D30BA0">
                    <w:rPr>
                      <w:noProof/>
                    </w:rPr>
                    <w:drawing>
                      <wp:inline distT="0" distB="0" distL="0" distR="0">
                        <wp:extent cx="1548041" cy="1348878"/>
                        <wp:effectExtent l="57150" t="57150" r="52159" b="60822"/>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548041" cy="1348878"/>
                                </a:xfrm>
                                <a:prstGeom prst="rect">
                                  <a:avLst/>
                                </a:prstGeom>
                                <a:ln w="635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00EF315D" w:rsidRPr="00B61338">
                    <w:rPr>
                      <w:color w:val="auto"/>
                    </w:rPr>
                    <w:fldChar w:fldCharType="begin"/>
                  </w:r>
                  <w:r w:rsidRPr="00B61338">
                    <w:rPr>
                      <w:color w:val="auto"/>
                    </w:rPr>
                    <w:instrText xml:space="preserve"> SEQ Figure \* ARABIC </w:instrText>
                  </w:r>
                  <w:r w:rsidR="00EF315D" w:rsidRPr="00B61338">
                    <w:rPr>
                      <w:color w:val="auto"/>
                    </w:rPr>
                    <w:fldChar w:fldCharType="separate"/>
                  </w:r>
                  <w:r w:rsidR="00E803AC">
                    <w:rPr>
                      <w:noProof/>
                      <w:color w:val="auto"/>
                    </w:rPr>
                    <w:t>2</w:t>
                  </w:r>
                  <w:r w:rsidR="00EF315D"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r>
                  <w:r w:rsidR="00400A41">
                    <w:rPr>
                      <w:color w:val="auto"/>
                    </w:rPr>
                    <w:t xml:space="preserve">presented </w:t>
                  </w:r>
                  <w:r>
                    <w:rPr>
                      <w:color w:val="auto"/>
                    </w:rPr>
                    <w:t xml:space="preserve">on </w:t>
                  </w:r>
                  <w:r w:rsidR="00400A41">
                    <w:rPr>
                      <w:color w:val="auto"/>
                    </w:rPr>
                    <w:t xml:space="preserve">a </w:t>
                  </w:r>
                  <w:r>
                    <w:rPr>
                      <w:color w:val="auto"/>
                    </w:rPr>
                    <w:t xml:space="preserve">2-D monitor </w:t>
                  </w:r>
                </w:p>
                <w:p w:rsidR="00CD0FC2" w:rsidRDefault="00CD0FC2" w:rsidP="00CD0FC2"/>
              </w:txbxContent>
            </v:textbox>
            <w10:wrap type="none"/>
            <w10:anchorlock/>
          </v:shape>
        </w:pict>
      </w:r>
      <w:r>
        <w:t xml:space="preserve"> </w:t>
      </w:r>
      <w:r w:rsidR="00EF315D">
        <w:pict>
          <v:shape id="_x0000_s1035" type="#_x0000_t202" style="width:160.35pt;height:155.85pt;mso-position-horizontal-relative:char;mso-position-vertical-relative:line;mso-width-relative:margin;mso-height-relative:margin" stroked="f">
            <v:textbox style="mso-next-textbox:#_x0000_s1035">
              <w:txbxContent>
                <w:p w:rsidR="00CD0FC2" w:rsidRDefault="00CD0FC2" w:rsidP="00CD0FC2">
                  <w:pPr>
                    <w:keepNext/>
                    <w:tabs>
                      <w:tab w:val="left" w:pos="1386"/>
                    </w:tabs>
                    <w:jc w:val="center"/>
                  </w:pPr>
                  <w:r w:rsidRPr="00465689">
                    <w:rPr>
                      <w:noProof/>
                    </w:rPr>
                    <w:drawing>
                      <wp:inline distT="0" distB="0" distL="0" distR="0">
                        <wp:extent cx="1753651" cy="1359081"/>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3651" cy="1359081"/>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00EF315D" w:rsidRPr="00B61338">
                    <w:rPr>
                      <w:color w:val="auto"/>
                    </w:rPr>
                    <w:fldChar w:fldCharType="begin"/>
                  </w:r>
                  <w:r w:rsidRPr="00B61338">
                    <w:rPr>
                      <w:color w:val="auto"/>
                    </w:rPr>
                    <w:instrText xml:space="preserve"> SEQ Figure \* ARABIC </w:instrText>
                  </w:r>
                  <w:r w:rsidR="00EF315D" w:rsidRPr="00B61338">
                    <w:rPr>
                      <w:color w:val="auto"/>
                    </w:rPr>
                    <w:fldChar w:fldCharType="separate"/>
                  </w:r>
                  <w:r w:rsidR="00E803AC">
                    <w:rPr>
                      <w:noProof/>
                      <w:color w:val="auto"/>
                    </w:rPr>
                    <w:t>3</w:t>
                  </w:r>
                  <w:r w:rsidR="00EF315D"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r w:rsidR="00BE0D1E">
        <w:t xml:space="preserve">Chowdhury, </w:t>
      </w:r>
      <w:r w:rsidR="002B226E" w:rsidRPr="00852988">
        <w:t>2003</w:t>
      </w:r>
      <w:r w:rsidR="002B226E">
        <w:t>)</w:t>
      </w:r>
      <w:r>
        <w:t>. Using this definition within the context of virtual environments, NLP tools allow computer technology to recognize voice input, analyze voice tone, provide lifelike conversation, retrieve info</w:t>
      </w:r>
      <w:r>
        <w:t>r</w:t>
      </w:r>
      <w:r>
        <w:t xml:space="preserve">mation, and many other applications in combination with machine learning.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people to have an interactive conversation with a human storyteller (a Holocaust survivor) who has recorded a number of dialogue contributions (Figure 4), </w:t>
      </w:r>
    </w:p>
    <w:p w:rsidR="00CD0FC2" w:rsidRDefault="00EF315D"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00EF315D" w:rsidRPr="00BF0701">
                    <w:rPr>
                      <w:color w:val="auto"/>
                    </w:rPr>
                    <w:fldChar w:fldCharType="begin"/>
                  </w:r>
                  <w:r w:rsidRPr="00BF0701">
                    <w:rPr>
                      <w:color w:val="auto"/>
                    </w:rPr>
                    <w:instrText xml:space="preserve"> SEQ Figure \* ARABIC </w:instrText>
                  </w:r>
                  <w:r w:rsidR="00EF315D" w:rsidRPr="00BF0701">
                    <w:rPr>
                      <w:color w:val="auto"/>
                    </w:rPr>
                    <w:fldChar w:fldCharType="separate"/>
                  </w:r>
                  <w:r w:rsidR="00E803AC">
                    <w:rPr>
                      <w:noProof/>
                      <w:color w:val="auto"/>
                    </w:rPr>
                    <w:t>4</w:t>
                  </w:r>
                  <w:r w:rsidR="00EF315D"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txbxContent>
            </v:textbox>
            <w10:wrap type="square"/>
          </v:shape>
        </w:pict>
      </w:r>
      <w:r w:rsidR="00CD0FC2">
        <w:t>including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survivors can be applied to other important persons and historical sagas of value and interest. Advances in gaming allow for utilization in learning, entertainment, healthcare, and lifelike training for areas like combat, base security, rea</w:t>
      </w:r>
      <w:r w:rsidR="00CD0FC2">
        <w:t>c</w:t>
      </w:r>
      <w:r w:rsidR="00CD0FC2">
        <w:t>tion team strategy, medical emergency responses, interfaces with civilian populations, and critical thinking. The SimCoach system was developed to assist Post Traumatic Stress Disorder (PTSD) su</w:t>
      </w:r>
      <w:r w:rsidR="00CD0FC2">
        <w:t>b</w:t>
      </w:r>
      <w:r w:rsidR="00CD0FC2">
        <w:t xml:space="preserve">jects and to “motivate users to take the first step – to empower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applications.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selves. Or a true virtual assistant that obviates the need for an assistant might provide a radical shift in the way the DoD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F538B2" w:rsidRDefault="00F538B2" w:rsidP="000905FD">
      <w:pPr>
        <w:jc w:val="both"/>
      </w:pPr>
      <w:r>
        <w:t>One of the needs identified by the DoD is 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w:t>
      </w:r>
      <w:r w:rsidR="00365828">
        <w:t xml:space="preserve"> (Nye, 2017)</w:t>
      </w:r>
      <w:r>
        <w:t>. There are several fac</w:t>
      </w:r>
      <w:r w:rsidR="00EB1C23">
        <w:t xml:space="preserve">tors that </w:t>
      </w:r>
      <w:r w:rsidR="006C6517">
        <w:t>militate</w:t>
      </w:r>
      <w:r w:rsidR="00EB1C23">
        <w:t xml:space="preserve"> against that availability of effective mentoring.  Some of the</w:t>
      </w:r>
      <w:r w:rsidR="006C6517">
        <w:t>se</w:t>
      </w:r>
      <w:r w:rsidR="00EB1C23">
        <w:t xml:space="preserve"> factors </w:t>
      </w:r>
      <w:r w:rsidR="006C6517">
        <w:t>were</w:t>
      </w:r>
      <w:r w:rsidR="00EB1C23">
        <w:t xml:space="preserve"> mentioned by education leaders who have given input into the Mentor PAL project</w:t>
      </w:r>
      <w:r w:rsidR="006C6517">
        <w:t xml:space="preserve">. </w:t>
      </w:r>
      <w:r w:rsidR="00EB1C23">
        <w:t xml:space="preserve"> </w:t>
      </w:r>
      <w:r w:rsidR="006C6517">
        <w:t>While ane</w:t>
      </w:r>
      <w:r w:rsidR="006C6517">
        <w:t>c</w:t>
      </w:r>
      <w:r w:rsidR="006C6517">
        <w:t>dotal, they are mentioned here.  Many of the counselors noted that a large portion of the population lives in widely dispersed small school districts around the country, many students live in lower Socio-Economic Status (SES) di</w:t>
      </w:r>
      <w:r w:rsidR="006C6517">
        <w:t>s</w:t>
      </w:r>
      <w:r w:rsidR="006C6517">
        <w:lastRenderedPageBreak/>
        <w:t>tricts in which few technical professionals live, many students are not amenable to face-to-face mentoring by profe</w:t>
      </w:r>
      <w:r w:rsidR="006C6517">
        <w:t>s</w:t>
      </w:r>
      <w:r w:rsidR="006C6517">
        <w:t>sionals they find intimidating, and many who are available for mentoring have agendas of their own or are hampered by poor mentoring s</w:t>
      </w:r>
      <w:r w:rsidR="000F41F5">
        <w:t>kills</w:t>
      </w:r>
      <w:r w:rsidR="006C6517">
        <w:t xml:space="preserve">. </w:t>
      </w:r>
    </w:p>
    <w:p w:rsidR="000F41F5" w:rsidRDefault="000F41F5" w:rsidP="000905FD">
      <w:pPr>
        <w:jc w:val="both"/>
      </w:pPr>
    </w:p>
    <w:p w:rsidR="00285E14" w:rsidRDefault="00EF315D" w:rsidP="000905FD">
      <w:pPr>
        <w:jc w:val="both"/>
      </w:pPr>
      <w:r>
        <w:rPr>
          <w:noProof/>
        </w:rPr>
        <w:pict>
          <v:shape id="_x0000_s1034" type="#_x0000_t202" style="position:absolute;left:0;text-align:left;margin-left:231.9pt;margin-top:163.8pt;width:235.85pt;height:30.7pt;z-index:251663360" stroked="f">
            <v:textbox style="mso-fit-shape-to-text:t" inset="0,0,0,0">
              <w:txbxContent>
                <w:p w:rsidR="00FC0E73" w:rsidRPr="00FC0E73" w:rsidRDefault="00FC0E73" w:rsidP="00FC0E73">
                  <w:pPr>
                    <w:pStyle w:val="Caption"/>
                    <w:jc w:val="center"/>
                    <w:rPr>
                      <w:noProof/>
                      <w:color w:val="auto"/>
                      <w:sz w:val="20"/>
                      <w:szCs w:val="20"/>
                    </w:rPr>
                  </w:pPr>
                  <w:r w:rsidRPr="00FC0E73">
                    <w:rPr>
                      <w:color w:val="auto"/>
                    </w:rPr>
                    <w:t xml:space="preserve">Figure </w:t>
                  </w:r>
                  <w:r w:rsidR="00EF315D" w:rsidRPr="00FC0E73">
                    <w:rPr>
                      <w:color w:val="auto"/>
                    </w:rPr>
                    <w:fldChar w:fldCharType="begin"/>
                  </w:r>
                  <w:r w:rsidRPr="00FC0E73">
                    <w:rPr>
                      <w:color w:val="auto"/>
                    </w:rPr>
                    <w:instrText xml:space="preserve"> SEQ Figure \* ARABIC </w:instrText>
                  </w:r>
                  <w:r w:rsidR="00EF315D" w:rsidRPr="00FC0E73">
                    <w:rPr>
                      <w:color w:val="auto"/>
                    </w:rPr>
                    <w:fldChar w:fldCharType="separate"/>
                  </w:r>
                  <w:r w:rsidR="00E803AC">
                    <w:rPr>
                      <w:noProof/>
                      <w:color w:val="auto"/>
                    </w:rPr>
                    <w:t>5</w:t>
                  </w:r>
                  <w:r w:rsidR="00EF315D" w:rsidRPr="00FC0E73">
                    <w:rPr>
                      <w:color w:val="auto"/>
                    </w:rPr>
                    <w:fldChar w:fldCharType="end"/>
                  </w:r>
                  <w:r w:rsidRPr="00FC0E73">
                    <w:rPr>
                      <w:color w:val="auto"/>
                    </w:rPr>
                    <w:t xml:space="preserve"> – Two Senior High School Students Evaluate </w:t>
                  </w:r>
                  <w:r>
                    <w:rPr>
                      <w:color w:val="auto"/>
                    </w:rPr>
                    <w:br/>
                  </w:r>
                  <w:r w:rsidRPr="00FC0E73">
                    <w:rPr>
                      <w:color w:val="auto"/>
                    </w:rPr>
                    <w:t>Mentor PAL Advice from a Navy Chief Petty Officer</w:t>
                  </w:r>
                </w:p>
              </w:txbxContent>
            </v:textbox>
            <w10:wrap type="square"/>
          </v:shape>
        </w:pict>
      </w:r>
      <w:r w:rsidR="00DA1EAA">
        <w:rPr>
          <w:noProof/>
        </w:rPr>
        <w:drawing>
          <wp:anchor distT="0" distB="0" distL="114300" distR="114300" simplePos="0" relativeHeight="251661312" behindDoc="0" locked="0" layoutInCell="1" allowOverlap="1">
            <wp:simplePos x="0" y="0"/>
            <wp:positionH relativeFrom="column">
              <wp:posOffset>2945130</wp:posOffset>
            </wp:positionH>
            <wp:positionV relativeFrom="paragraph">
              <wp:posOffset>69215</wp:posOffset>
            </wp:positionV>
            <wp:extent cx="2995295" cy="1989455"/>
            <wp:effectExtent l="19050" t="0" r="0" b="0"/>
            <wp:wrapSquare wrapText="bothSides"/>
            <wp:docPr id="2" name="Picture 1" descr="StudentsReviewingMent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ReviewingMentPAL.jpg"/>
                    <pic:cNvPicPr/>
                  </pic:nvPicPr>
                  <pic:blipFill>
                    <a:blip r:embed="rId16"/>
                    <a:stretch>
                      <a:fillRect/>
                    </a:stretch>
                  </pic:blipFill>
                  <pic:spPr>
                    <a:xfrm>
                      <a:off x="0" y="0"/>
                      <a:ext cx="2995295" cy="1989455"/>
                    </a:xfrm>
                    <a:prstGeom prst="rect">
                      <a:avLst/>
                    </a:prstGeom>
                  </pic:spPr>
                </pic:pic>
              </a:graphicData>
            </a:graphic>
          </wp:anchor>
        </w:drawing>
      </w:r>
      <w:r w:rsidR="000F41F5">
        <w:t>ICT proposed to the Office of Naval Research that most of these problems could be ameliorated by using their co</w:t>
      </w:r>
      <w:r w:rsidR="000F41F5">
        <w:t>n</w:t>
      </w:r>
      <w:r w:rsidR="000F41F5">
        <w:t xml:space="preserve">versational VH technology and providing </w:t>
      </w:r>
      <w:r w:rsidR="00285E14">
        <w:t>compelling, engaging and validating mentoring which could be delivered by locally hosted programs or web-delivered client/server service.   It was proposed as being able to provide conve</w:t>
      </w:r>
      <w:r w:rsidR="00285E14">
        <w:t>r</w:t>
      </w:r>
      <w:r w:rsidR="00285E14">
        <w:t>sation-like mentoring to any student in any locality, in a non-threatening way, and by mentors who have been vetted as being “on-message” and personally engaging and insightful.  The program has been funded and initial mentor videota</w:t>
      </w:r>
      <w:r w:rsidR="00285E14">
        <w:t>p</w:t>
      </w:r>
      <w:r w:rsidR="00285E14">
        <w:t>ing and interface design has produced a working prot</w:t>
      </w:r>
      <w:r w:rsidR="00285E14">
        <w:t>o</w:t>
      </w:r>
      <w:r w:rsidR="00285E14">
        <w:t xml:space="preserve">type.  </w:t>
      </w:r>
      <w:r w:rsidR="00FC0E73">
        <w:t>Various versions of t</w:t>
      </w:r>
      <w:r w:rsidR="00285E14">
        <w:t>his prototype</w:t>
      </w:r>
      <w:r w:rsidR="00FC0E73">
        <w:t>, running on a Microsoft Surface tablet computer, have</w:t>
      </w:r>
      <w:r w:rsidR="00285E14">
        <w:t xml:space="preserve"> been assessed by a small number of pre-college students.  </w:t>
      </w:r>
      <w:r w:rsidR="00DA1EAA">
        <w:t>Input from the students affirmed both the need for the mentorships and the openness to the on-line mentor.</w:t>
      </w:r>
    </w:p>
    <w:p w:rsidR="00CD5556" w:rsidRDefault="00CD5556" w:rsidP="000905FD">
      <w:pPr>
        <w:jc w:val="both"/>
      </w:pPr>
    </w:p>
    <w:p w:rsidR="00CD5556" w:rsidRDefault="00CD5556" w:rsidP="000905FD">
      <w:pPr>
        <w:jc w:val="both"/>
      </w:pPr>
      <w:r>
        <w:t>The project was funded to produce a prototype for analysis, but the early trial tests with students, as represented above, emphasized the range of evaluative comments and the subjective nature of the researchers reaction to those comments.  Therefore, before the last student exposure to the program, a way of garnering, documenting, and qua</w:t>
      </w:r>
      <w:r>
        <w:t>n</w:t>
      </w:r>
      <w:r>
        <w:t>tifying the responses was sought.  With insufficient time and funding to do a formal survey at this point in the pr</w:t>
      </w:r>
      <w:r>
        <w:t>o</w:t>
      </w:r>
      <w:r>
        <w:t>ject, one of the  researchers created a quick five item Likert survey to capture and record some of the insights that the students had to offer.  Below in Tables 1 you will find an image of the four and a quarter inch by five and half inch form that was given all of the students who sat and interrogated the VH mentor.  Table 2 has a compilation of the answers given.  All 16 participants responded to all five questions. Ten either wrote comments or gave oral fee</w:t>
      </w:r>
      <w:r>
        <w:t>d</w:t>
      </w:r>
      <w:r>
        <w:t>back of note to the researchers.</w:t>
      </w:r>
    </w:p>
    <w:p w:rsidR="00CD5556" w:rsidRDefault="00CD5556" w:rsidP="000905FD">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D5556" w:rsidTr="00D32EBD">
        <w:tc>
          <w:tcPr>
            <w:tcW w:w="4788" w:type="dxa"/>
          </w:tcPr>
          <w:p w:rsidR="00D32EBD" w:rsidRPr="00E803AC" w:rsidRDefault="00D32EBD" w:rsidP="00D32EBD">
            <w:pPr>
              <w:pStyle w:val="Caption"/>
              <w:keepNext/>
              <w:jc w:val="center"/>
              <w:rPr>
                <w:color w:val="auto"/>
              </w:rPr>
            </w:pPr>
            <w:r w:rsidRPr="00E803AC">
              <w:rPr>
                <w:color w:val="auto"/>
              </w:rPr>
              <w:t xml:space="preserve">Table </w:t>
            </w:r>
            <w:r w:rsidR="00EF315D" w:rsidRPr="00E803AC">
              <w:rPr>
                <w:color w:val="auto"/>
              </w:rPr>
              <w:fldChar w:fldCharType="begin"/>
            </w:r>
            <w:r w:rsidRPr="00E803AC">
              <w:rPr>
                <w:color w:val="auto"/>
              </w:rPr>
              <w:instrText xml:space="preserve"> SEQ Table \* ARABIC </w:instrText>
            </w:r>
            <w:r w:rsidR="00EF315D" w:rsidRPr="00E803AC">
              <w:rPr>
                <w:color w:val="auto"/>
              </w:rPr>
              <w:fldChar w:fldCharType="separate"/>
            </w:r>
            <w:r w:rsidR="00E803AC" w:rsidRPr="00E803AC">
              <w:rPr>
                <w:noProof/>
                <w:color w:val="auto"/>
              </w:rPr>
              <w:t>1</w:t>
            </w:r>
            <w:r w:rsidR="00EF315D" w:rsidRPr="00E803AC">
              <w:rPr>
                <w:color w:val="auto"/>
              </w:rPr>
              <w:fldChar w:fldCharType="end"/>
            </w:r>
            <w:r w:rsidRPr="00E803AC">
              <w:rPr>
                <w:color w:val="auto"/>
              </w:rPr>
              <w:t xml:space="preserve"> – Form Given to Students</w:t>
            </w:r>
          </w:p>
          <w:p w:rsidR="00CD5556" w:rsidRDefault="00D32EBD" w:rsidP="005412E2">
            <w:pPr>
              <w:jc w:val="center"/>
            </w:pPr>
            <w:r>
              <w:rPr>
                <w:noProof/>
              </w:rPr>
              <w:drawing>
                <wp:inline distT="0" distB="0" distL="0" distR="0">
                  <wp:extent cx="2819561" cy="1989513"/>
                  <wp:effectExtent l="19050" t="0" r="0" b="0"/>
                  <wp:docPr id="6" name="Picture 5" descr="1-Form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ormOnly.jpg"/>
                          <pic:cNvPicPr/>
                        </pic:nvPicPr>
                        <pic:blipFill>
                          <a:blip r:embed="rId17"/>
                          <a:srcRect t="5333"/>
                          <a:stretch>
                            <a:fillRect/>
                          </a:stretch>
                        </pic:blipFill>
                        <pic:spPr>
                          <a:xfrm>
                            <a:off x="0" y="0"/>
                            <a:ext cx="2819802" cy="1989683"/>
                          </a:xfrm>
                          <a:prstGeom prst="rect">
                            <a:avLst/>
                          </a:prstGeom>
                        </pic:spPr>
                      </pic:pic>
                    </a:graphicData>
                  </a:graphic>
                </wp:inline>
              </w:drawing>
            </w:r>
          </w:p>
        </w:tc>
        <w:tc>
          <w:tcPr>
            <w:tcW w:w="4788" w:type="dxa"/>
          </w:tcPr>
          <w:p w:rsidR="00D32EBD" w:rsidRPr="00E803AC" w:rsidRDefault="00D32EBD" w:rsidP="00D32EBD">
            <w:pPr>
              <w:pStyle w:val="Caption"/>
              <w:keepNext/>
              <w:jc w:val="center"/>
              <w:rPr>
                <w:color w:val="auto"/>
              </w:rPr>
            </w:pPr>
            <w:r w:rsidRPr="00E803AC">
              <w:rPr>
                <w:color w:val="auto"/>
              </w:rPr>
              <w:t xml:space="preserve">Table </w:t>
            </w:r>
            <w:r w:rsidR="00EF315D" w:rsidRPr="00E803AC">
              <w:rPr>
                <w:color w:val="auto"/>
              </w:rPr>
              <w:fldChar w:fldCharType="begin"/>
            </w:r>
            <w:r w:rsidRPr="00E803AC">
              <w:rPr>
                <w:color w:val="auto"/>
              </w:rPr>
              <w:instrText xml:space="preserve"> SEQ Table \* ARABIC </w:instrText>
            </w:r>
            <w:r w:rsidR="00EF315D" w:rsidRPr="00E803AC">
              <w:rPr>
                <w:color w:val="auto"/>
              </w:rPr>
              <w:fldChar w:fldCharType="separate"/>
            </w:r>
            <w:r w:rsidR="00E803AC" w:rsidRPr="00E803AC">
              <w:rPr>
                <w:noProof/>
                <w:color w:val="auto"/>
              </w:rPr>
              <w:t>2</w:t>
            </w:r>
            <w:r w:rsidR="00EF315D" w:rsidRPr="00E803AC">
              <w:rPr>
                <w:color w:val="auto"/>
              </w:rPr>
              <w:fldChar w:fldCharType="end"/>
            </w:r>
            <w:r w:rsidRPr="00E803AC">
              <w:rPr>
                <w:color w:val="auto"/>
              </w:rPr>
              <w:t xml:space="preserve"> – Record of Responses</w:t>
            </w:r>
          </w:p>
          <w:p w:rsidR="00CD5556" w:rsidRDefault="00F92968" w:rsidP="00F92968">
            <w:pPr>
              <w:jc w:val="center"/>
            </w:pPr>
            <w:r>
              <w:rPr>
                <w:noProof/>
              </w:rPr>
              <w:drawing>
                <wp:inline distT="0" distB="0" distL="0" distR="0">
                  <wp:extent cx="2779568" cy="1982810"/>
                  <wp:effectExtent l="19050" t="0" r="1732" b="0"/>
                  <wp:docPr id="7"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18"/>
                          <a:srcRect t="5333"/>
                          <a:stretch>
                            <a:fillRect/>
                          </a:stretch>
                        </pic:blipFill>
                        <pic:spPr>
                          <a:xfrm>
                            <a:off x="0" y="0"/>
                            <a:ext cx="2785740" cy="1987213"/>
                          </a:xfrm>
                          <a:prstGeom prst="rect">
                            <a:avLst/>
                          </a:prstGeom>
                        </pic:spPr>
                      </pic:pic>
                    </a:graphicData>
                  </a:graphic>
                </wp:inline>
              </w:drawing>
            </w:r>
          </w:p>
        </w:tc>
      </w:tr>
    </w:tbl>
    <w:p w:rsidR="00CD5556" w:rsidRDefault="00CD5556" w:rsidP="000905FD">
      <w:pPr>
        <w:jc w:val="both"/>
      </w:pPr>
    </w:p>
    <w:p w:rsidR="00F92968" w:rsidRDefault="00F92968" w:rsidP="000905FD">
      <w:pPr>
        <w:jc w:val="both"/>
      </w:pPr>
      <w:r>
        <w:t xml:space="preserve">The authors recognize the informal nature of this data collection effort, but it did help record the impressions of the users and also acted as a documentation aide to assist the researchers in remembering the users’ impressions. Both these data and the concomitant oral comments seem to support earlier research, cited above, that reflect both the ease of use and the credibility that the users afford to the VH mentors.  Using this tool, instead of the </w:t>
      </w:r>
      <w:r w:rsidR="009B1D7D">
        <w:t>time-consuming method of individual mentoring, is seen by the researchers as holding some promise for alleviating the constraints enumerated above.  However, there is a cost: the production time of each videotaped mentor.</w:t>
      </w:r>
    </w:p>
    <w:p w:rsidR="00285E14" w:rsidRDefault="00F92968" w:rsidP="000905FD">
      <w:pPr>
        <w:jc w:val="both"/>
      </w:pPr>
      <w:r>
        <w:t xml:space="preserve"> </w:t>
      </w:r>
    </w:p>
    <w:p w:rsidR="009B1D7D" w:rsidRDefault="00DA1EAA" w:rsidP="000905FD">
      <w:pPr>
        <w:jc w:val="both"/>
      </w:pPr>
      <w:r>
        <w:lastRenderedPageBreak/>
        <w:t>The procedure for creating such a conversational VH mentor involves a number of steps, in addition to the develo</w:t>
      </w:r>
      <w:r>
        <w:t>p</w:t>
      </w:r>
      <w:r>
        <w:t xml:space="preserve">ment and tuning of the </w:t>
      </w:r>
      <w:r w:rsidR="00C852BF">
        <w:t xml:space="preserve">software code that makes the program function.  Literally volumes have been written about how to system engineer large code programs, running all the way from general, almost philosophical approaches, e.g. Professor Fred Brooks book (Brooks, 1995) to more detailed and didactic tomes </w:t>
      </w:r>
      <w:r w:rsidR="009841BB">
        <w:t xml:space="preserve">(Pressman &amp; Maxim, 2005). However, for the more prosaic support functions, no such tomes are familiar to the simulation computer scientists that would assist in organizing their activities. </w:t>
      </w:r>
      <w:r w:rsidR="009B1D7D">
        <w:t>Project personnel, basing their approach on lessons learned from pr</w:t>
      </w:r>
      <w:r w:rsidR="009B1D7D">
        <w:t>e</w:t>
      </w:r>
      <w:r w:rsidR="009B1D7D">
        <w:t xml:space="preserve">vious ICT efforts, knew they needed a process for the production of the videos.  </w:t>
      </w:r>
      <w:r w:rsidR="009841BB">
        <w:t>Therefore, with more courage than confidence, they set up a series of steps to produce the vide</w:t>
      </w:r>
      <w:r w:rsidR="009B1D7D">
        <w:t>os: familiarization with the career field to be covered, generation of questions to be posed to the mentor, selection of mentors, setting up the recording facilities, doing the recording, tearing down the facilities, editing the videos, time-stamping the resultant files, correcting voice recogn</w:t>
      </w:r>
      <w:r w:rsidR="009B1D7D">
        <w:t>i</w:t>
      </w:r>
      <w:r w:rsidR="009B1D7D">
        <w:t>tion transcriptions, and validating the results.</w:t>
      </w:r>
    </w:p>
    <w:p w:rsidR="009B1D7D" w:rsidRDefault="009B1D7D" w:rsidP="000905FD">
      <w:pPr>
        <w:jc w:val="both"/>
      </w:pPr>
    </w:p>
    <w:p w:rsidR="00285E14" w:rsidRDefault="009B1D7D" w:rsidP="000905FD">
      <w:pPr>
        <w:jc w:val="both"/>
      </w:pPr>
      <w:r>
        <w:t>These</w:t>
      </w:r>
      <w:r w:rsidR="009841BB">
        <w:t xml:space="preserve"> are represented in column one of Table 1 below</w:t>
      </w:r>
      <w:r>
        <w:t>. The rest of the columns</w:t>
      </w:r>
      <w:r w:rsidR="00EF245C">
        <w:t xml:space="preserve"> </w:t>
      </w:r>
      <w:proofErr w:type="spellStart"/>
      <w:r w:rsidR="00EF245C">
        <w:t>showi</w:t>
      </w:r>
      <w:proofErr w:type="spellEnd"/>
      <w:r>
        <w:t xml:space="preserve"> time</w:t>
      </w:r>
      <w:r w:rsidR="00EF245C">
        <w:t xml:space="preserve"> estimates</w:t>
      </w:r>
      <w:r>
        <w:t>, in staff-hours,</w:t>
      </w:r>
      <w:r w:rsidR="00EF245C">
        <w:t xml:space="preserve"> by two researchers, offering different configurations of the evolutions</w:t>
      </w:r>
      <w:r w:rsidR="009841BB">
        <w:t>.</w:t>
      </w:r>
    </w:p>
    <w:p w:rsidR="009841BB" w:rsidRDefault="009841BB" w:rsidP="000905FD">
      <w:pPr>
        <w:jc w:val="both"/>
      </w:pPr>
    </w:p>
    <w:p w:rsidR="00EF245C" w:rsidRPr="00EF245C" w:rsidRDefault="00EF245C" w:rsidP="00EF245C">
      <w:pPr>
        <w:pStyle w:val="Caption"/>
        <w:keepNext/>
        <w:jc w:val="center"/>
        <w:rPr>
          <w:color w:val="auto"/>
        </w:rPr>
      </w:pPr>
      <w:r w:rsidRPr="00EF245C">
        <w:rPr>
          <w:color w:val="auto"/>
        </w:rPr>
        <w:t xml:space="preserve">Table </w:t>
      </w:r>
      <w:r w:rsidR="00EF315D" w:rsidRPr="00EF245C">
        <w:rPr>
          <w:color w:val="auto"/>
        </w:rPr>
        <w:fldChar w:fldCharType="begin"/>
      </w:r>
      <w:r w:rsidRPr="00EF245C">
        <w:rPr>
          <w:color w:val="auto"/>
        </w:rPr>
        <w:instrText xml:space="preserve"> SEQ Table \* ARABIC </w:instrText>
      </w:r>
      <w:r w:rsidR="00EF315D" w:rsidRPr="00EF245C">
        <w:rPr>
          <w:color w:val="auto"/>
        </w:rPr>
        <w:fldChar w:fldCharType="separate"/>
      </w:r>
      <w:r w:rsidR="00E803AC">
        <w:rPr>
          <w:noProof/>
          <w:color w:val="auto"/>
        </w:rPr>
        <w:t>3</w:t>
      </w:r>
      <w:r w:rsidR="00EF315D" w:rsidRPr="00EF245C">
        <w:rPr>
          <w:color w:val="auto"/>
        </w:rPr>
        <w:fldChar w:fldCharType="end"/>
      </w:r>
      <w:r w:rsidRPr="00EF245C">
        <w:rPr>
          <w:color w:val="auto"/>
        </w:rPr>
        <w:t xml:space="preserve"> – Task List and Estimated Times based on Producing Two Mentor Video Series.</w:t>
      </w:r>
    </w:p>
    <w:p w:rsidR="009841BB" w:rsidRDefault="009841BB" w:rsidP="000905FD">
      <w:pPr>
        <w:jc w:val="both"/>
      </w:pPr>
      <w:r>
        <w:rPr>
          <w:noProof/>
        </w:rPr>
        <w:drawing>
          <wp:inline distT="0" distB="0" distL="0" distR="0">
            <wp:extent cx="6088554" cy="2939209"/>
            <wp:effectExtent l="19050" t="0" r="7446" b="0"/>
            <wp:docPr id="3" name="Picture 2" descr="EstTimeForMntrRe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TimeForMntrRev2.jpg"/>
                    <pic:cNvPicPr/>
                  </pic:nvPicPr>
                  <pic:blipFill>
                    <a:blip r:embed="rId19"/>
                    <a:srcRect l="5455" t="15294" r="8182" b="30588"/>
                    <a:stretch>
                      <a:fillRect/>
                    </a:stretch>
                  </pic:blipFill>
                  <pic:spPr>
                    <a:xfrm>
                      <a:off x="0" y="0"/>
                      <a:ext cx="6094862" cy="2942254"/>
                    </a:xfrm>
                    <a:prstGeom prst="rect">
                      <a:avLst/>
                    </a:prstGeom>
                  </pic:spPr>
                </pic:pic>
              </a:graphicData>
            </a:graphic>
          </wp:inline>
        </w:drawing>
      </w:r>
    </w:p>
    <w:p w:rsidR="000905FD" w:rsidRDefault="000905FD" w:rsidP="000905FD">
      <w:pPr>
        <w:jc w:val="both"/>
      </w:pPr>
    </w:p>
    <w:p w:rsidR="0045789F" w:rsidRDefault="00EF245C" w:rsidP="000905FD">
      <w:pPr>
        <w:jc w:val="both"/>
      </w:pPr>
      <w:r>
        <w:t xml:space="preserve">It was at this point that those actually doing the production began to notice and decry the significant amount of time that was being invested in very tedious and unrewarding assignments. Optimization was done </w:t>
      </w:r>
      <w:r w:rsidRPr="009B1D7D">
        <w:rPr>
          <w:i/>
        </w:rPr>
        <w:t>post hoc</w:t>
      </w:r>
      <w:r>
        <w:t xml:space="preserve"> and </w:t>
      </w:r>
      <w:r w:rsidRPr="009B1D7D">
        <w:rPr>
          <w:i/>
        </w:rPr>
        <w:t>ad hoc</w:t>
      </w:r>
      <w:r>
        <w:t xml:space="preserve">, as the researchers </w:t>
      </w:r>
      <w:r w:rsidR="009B1D7D">
        <w:t>had not thought</w:t>
      </w:r>
      <w:r>
        <w:t xml:space="preserve"> that the small number of iterations justified a lot of time being invested in the </w:t>
      </w:r>
      <w:r w:rsidR="0045789F">
        <w:t>process to enhance the production.  However, it was realized that implementation by the Navy for a plethora of pr</w:t>
      </w:r>
      <w:r w:rsidR="0045789F">
        <w:t>o</w:t>
      </w:r>
      <w:r w:rsidR="0045789F">
        <w:t>fessions would benefit from such an effort; further,</w:t>
      </w:r>
      <w:r w:rsidR="009B1D7D">
        <w:t xml:space="preserve"> the success of any</w:t>
      </w:r>
      <w:r w:rsidR="0045789F">
        <w:t xml:space="preserve"> consideration for other counseling uses would be more promising if such advocacy were to be accompanied by quantification of the price of production.  </w:t>
      </w:r>
      <w:r w:rsidR="008713D6">
        <w:t>It was at this point that the decision was made to seek out the input from</w:t>
      </w:r>
      <w:r w:rsidR="009B1D7D">
        <w:t xml:space="preserve"> the</w:t>
      </w:r>
      <w:r w:rsidR="008713D6">
        <w:t xml:space="preserve"> System Engineer</w:t>
      </w:r>
      <w:r w:rsidR="009B1D7D">
        <w:t>ing community</w:t>
      </w:r>
      <w:r w:rsidR="008713D6">
        <w:t>.</w:t>
      </w:r>
    </w:p>
    <w:p w:rsidR="00EF245C" w:rsidRDefault="0045789F" w:rsidP="000905FD">
      <w:pPr>
        <w:jc w:val="both"/>
      </w:pPr>
      <w:r>
        <w:t xml:space="preserve"> .</w:t>
      </w:r>
    </w:p>
    <w:p w:rsidR="00CD0FC2" w:rsidRDefault="00CD0FC2" w:rsidP="00CD0FC2">
      <w:pPr>
        <w:pStyle w:val="Heading1"/>
      </w:pPr>
      <w:r>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16391F" w:rsidRDefault="0016391F" w:rsidP="000905FD">
      <w:pPr>
        <w:jc w:val="both"/>
      </w:pPr>
    </w:p>
    <w:p w:rsidR="00E807FA" w:rsidRDefault="00E807FA" w:rsidP="0016391F">
      <w:pPr>
        <w:pStyle w:val="Heading2"/>
      </w:pPr>
    </w:p>
    <w:p w:rsidR="00E807FA" w:rsidRDefault="00E807FA" w:rsidP="0016391F">
      <w:pPr>
        <w:pStyle w:val="Heading2"/>
      </w:pPr>
    </w:p>
    <w:p w:rsidR="00E807FA" w:rsidRDefault="00E807FA" w:rsidP="0016391F">
      <w:pPr>
        <w:pStyle w:val="Heading2"/>
      </w:pPr>
    </w:p>
    <w:p w:rsidR="0016391F" w:rsidRDefault="0016391F" w:rsidP="0016391F">
      <w:pPr>
        <w:pStyle w:val="Heading2"/>
      </w:pPr>
      <w:r>
        <w:t>SE Tools Applicable to Mentor PAL</w:t>
      </w:r>
    </w:p>
    <w:p w:rsidR="0016391F" w:rsidRDefault="0016391F" w:rsidP="000905FD">
      <w:pPr>
        <w:jc w:val="both"/>
      </w:pPr>
    </w:p>
    <w:p w:rsidR="0016391F" w:rsidRDefault="0016391F" w:rsidP="000905FD">
      <w:pPr>
        <w:jc w:val="both"/>
      </w:pPr>
    </w:p>
    <w:p w:rsidR="0016391F" w:rsidRDefault="0016391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16391F" w:rsidRDefault="0016391F" w:rsidP="0016391F">
      <w:pPr>
        <w:pStyle w:val="Heading2"/>
      </w:pPr>
      <w:r>
        <w:lastRenderedPageBreak/>
        <w:t>Current Application Efforts</w:t>
      </w: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682F9F" w:rsidRDefault="00682F9F" w:rsidP="0016391F">
      <w:pPr>
        <w:pStyle w:val="Heading2"/>
      </w:pPr>
    </w:p>
    <w:p w:rsidR="00E807FA" w:rsidRDefault="00E807FA" w:rsidP="0016391F">
      <w:pPr>
        <w:pStyle w:val="Heading2"/>
      </w:pPr>
    </w:p>
    <w:p w:rsidR="00E807FA" w:rsidRDefault="00E807FA" w:rsidP="0016391F">
      <w:pPr>
        <w:pStyle w:val="Heading2"/>
      </w:pPr>
    </w:p>
    <w:p w:rsidR="00E807FA" w:rsidRDefault="00E807FA" w:rsidP="0016391F">
      <w:pPr>
        <w:pStyle w:val="Heading2"/>
      </w:pPr>
    </w:p>
    <w:p w:rsidR="0016391F" w:rsidRDefault="0016391F" w:rsidP="0016391F">
      <w:pPr>
        <w:pStyle w:val="Heading2"/>
      </w:pPr>
      <w:r>
        <w:t>Impact of SE on Mentor PAL to Date</w:t>
      </w:r>
    </w:p>
    <w:p w:rsidR="0016391F" w:rsidRDefault="0016391F" w:rsidP="000905FD">
      <w:pPr>
        <w:jc w:val="both"/>
      </w:pPr>
    </w:p>
    <w:p w:rsidR="0016391F" w:rsidRDefault="0016391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CD0FC2" w:rsidRDefault="00BF0701" w:rsidP="00BF0701">
      <w:pPr>
        <w:pStyle w:val="Heading1"/>
      </w:pPr>
      <w:r>
        <w:t>Analysis</w:t>
      </w:r>
    </w:p>
    <w:p w:rsidR="00BF0701" w:rsidRDefault="00BF0701" w:rsidP="000905FD">
      <w:pPr>
        <w:jc w:val="both"/>
      </w:pPr>
    </w:p>
    <w:p w:rsidR="00AC327B" w:rsidRDefault="00AC327B" w:rsidP="000905FD">
      <w:pPr>
        <w:jc w:val="both"/>
      </w:pPr>
      <w:r>
        <w:t>When this was all observed and considered, it seemed that there were good reasons to consider the application of some of these techniques and approaches in other research projects.  Further, larger projects with even more detailed and onerous procedures, it may warrant the recruitment of a System Engineer as a member of the research team.</w:t>
      </w:r>
    </w:p>
    <w:p w:rsidR="00AC327B" w:rsidRDefault="00AC327B" w:rsidP="000905FD">
      <w:pPr>
        <w:jc w:val="both"/>
      </w:pPr>
    </w:p>
    <w:p w:rsidR="00AC327B" w:rsidRDefault="00AC327B"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BF0701" w:rsidRDefault="00BF0701" w:rsidP="00BF0701">
      <w:pPr>
        <w:pStyle w:val="Heading1"/>
      </w:pPr>
      <w:r>
        <w:lastRenderedPageBreak/>
        <w:t>Conclusions</w:t>
      </w:r>
    </w:p>
    <w:p w:rsidR="00BF0701" w:rsidRDefault="00BF0701" w:rsidP="000905FD">
      <w:pPr>
        <w:jc w:val="both"/>
      </w:pPr>
    </w:p>
    <w:p w:rsidR="00FC64F4" w:rsidRDefault="00FC64F4" w:rsidP="000905FD">
      <w:pPr>
        <w:jc w:val="both"/>
      </w:pPr>
      <w:r>
        <w:t xml:space="preserve">The authors assert that the data presented above justify the careful consideration of the adoption of some of the tools described. </w:t>
      </w: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682F9F" w:rsidRDefault="00682F9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5C2FBF" w:rsidRDefault="005C2FBF" w:rsidP="000905FD">
      <w:pPr>
        <w:jc w:val="both"/>
      </w:pPr>
    </w:p>
    <w:p w:rsidR="00682F9F" w:rsidRDefault="00682F9F"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AB1AA2" w:rsidRDefault="00AB1AA2" w:rsidP="000905FD">
      <w:pPr>
        <w:jc w:val="both"/>
      </w:pPr>
    </w:p>
    <w:p w:rsidR="00FC64F4" w:rsidRDefault="00FC64F4" w:rsidP="000905FD">
      <w:pPr>
        <w:jc w:val="both"/>
      </w:pPr>
    </w:p>
    <w:p w:rsidR="00BF0701" w:rsidRDefault="00BF0701" w:rsidP="00BF0701">
      <w:pPr>
        <w:pStyle w:val="Heading1"/>
      </w:pPr>
      <w:r>
        <w:t xml:space="preserve">Acknowledgements </w:t>
      </w:r>
    </w:p>
    <w:p w:rsidR="00BF0701" w:rsidRDefault="00BF0701" w:rsidP="000905FD">
      <w:pPr>
        <w:jc w:val="both"/>
      </w:pPr>
    </w:p>
    <w:p w:rsidR="00FC64F4" w:rsidRDefault="00FC64F4" w:rsidP="000905FD">
      <w:pPr>
        <w:jc w:val="both"/>
      </w:pPr>
      <w:r>
        <w:t>The authors want to acknowledge the leadership and support from the two co-</w:t>
      </w:r>
      <w:r w:rsidR="00732FA6">
        <w:t>Principal</w:t>
      </w:r>
      <w:r>
        <w:t xml:space="preserve"> Investigators, William Swartout, PhD and Benjamin Nye, PhD.  Their counsel for us and patience with us were invaluable.  They contri</w:t>
      </w:r>
      <w:r>
        <w:t>b</w:t>
      </w:r>
      <w:r>
        <w:t>uted ideas and data that were included in the data listed above.</w:t>
      </w:r>
      <w:r w:rsidR="00682F9F">
        <w:t xml:space="preserve">  Much of the work described above was conducted in response to Office of Naval Research contract: </w:t>
      </w:r>
      <w:r w:rsidR="00682F9F" w:rsidRPr="00682F9F">
        <w:t>Mentor PAL: Growing STEM Pipelines with Personalized Dialogs with Virtual STEM Professionals, N00014-16-R-FO03</w:t>
      </w:r>
      <w:r w:rsidR="00682F9F">
        <w:t>.  The opinion</w:t>
      </w:r>
      <w:r w:rsidR="00AB1AA2">
        <w:t>s</w:t>
      </w:r>
      <w:r w:rsidR="00682F9F">
        <w:t xml:space="preserve"> expressed herein are the authors’ own and do not necessarily reflect those of the Department of the Navy or the U.S. Government.</w:t>
      </w:r>
    </w:p>
    <w:p w:rsidR="00FC64F4" w:rsidRDefault="00FC64F4" w:rsidP="000905FD">
      <w:pPr>
        <w:jc w:val="both"/>
      </w:pPr>
    </w:p>
    <w:p w:rsidR="00BF0701" w:rsidRDefault="00BF0701" w:rsidP="00BF0701">
      <w:pPr>
        <w:pStyle w:val="Heading1"/>
      </w:pPr>
      <w:r>
        <w:t xml:space="preserve">References </w:t>
      </w:r>
    </w:p>
    <w:p w:rsidR="00BF0701" w:rsidRDefault="00BF0701" w:rsidP="000905FD">
      <w:pPr>
        <w:jc w:val="both"/>
      </w:pPr>
    </w:p>
    <w:p w:rsidR="00BF0701" w:rsidRDefault="00BF0701" w:rsidP="007561F9">
      <w:pPr>
        <w:pStyle w:val="IITSEC-Ref"/>
      </w:pPr>
      <w:r w:rsidRPr="00BF0701">
        <w:t xml:space="preserve">Allwood, J., Traum, D., &amp; Jokinen, K. (2000). “Cooperation, Dialogue and Ethics.” </w:t>
      </w:r>
      <w:r w:rsidRPr="00674463">
        <w:rPr>
          <w:i/>
        </w:rPr>
        <w:t>International Journal of Human-Computer Studie</w:t>
      </w:r>
      <w:r w:rsidRPr="00BF0701">
        <w:t>s, 53(6), 871-914.</w:t>
      </w:r>
    </w:p>
    <w:p w:rsidR="00C852BF" w:rsidRPr="00BF0701" w:rsidRDefault="00C852BF" w:rsidP="00C852BF">
      <w:pPr>
        <w:pStyle w:val="IITSEC-Ref"/>
      </w:pPr>
      <w:r w:rsidRPr="00C852BF">
        <w:t xml:space="preserve">Brooks </w:t>
      </w:r>
      <w:proofErr w:type="spellStart"/>
      <w:r w:rsidRPr="00C852BF">
        <w:t>Jr</w:t>
      </w:r>
      <w:proofErr w:type="spellEnd"/>
      <w:r w:rsidRPr="00C852BF">
        <w:t>, Frederick P. (1995)</w:t>
      </w:r>
      <w:r>
        <w:t xml:space="preserve">, </w:t>
      </w:r>
      <w:r w:rsidRPr="00C852BF">
        <w:t>"</w:t>
      </w:r>
      <w:r w:rsidRPr="00C852BF">
        <w:rPr>
          <w:i/>
        </w:rPr>
        <w:t>The Mythical Man-Month</w:t>
      </w:r>
      <w:r w:rsidRPr="00C852BF">
        <w:t xml:space="preserve">." </w:t>
      </w:r>
      <w:r>
        <w:t xml:space="preserve">Anniversary Edition, </w:t>
      </w:r>
      <w:r w:rsidRPr="00C852BF">
        <w:t>Addison-Wesley Professio</w:t>
      </w:r>
      <w:r w:rsidRPr="00C852BF">
        <w:t>n</w:t>
      </w:r>
      <w:r w:rsidRPr="00C852BF">
        <w:t>a</w:t>
      </w:r>
      <w:r>
        <w:t>l, Boston, MA</w:t>
      </w:r>
      <w:r w:rsidRPr="00C852BF">
        <w:t>.</w:t>
      </w:r>
    </w:p>
    <w:p w:rsidR="00BF0701" w:rsidRPr="00BF0701" w:rsidRDefault="00674463" w:rsidP="007561F9">
      <w:pPr>
        <w:pStyle w:val="IITSEC-Ref"/>
      </w:pPr>
      <w:r>
        <w:lastRenderedPageBreak/>
        <w:t>Chowdhury, G.</w:t>
      </w:r>
      <w:r w:rsidR="00BF0701" w:rsidRPr="00BF0701">
        <w:t xml:space="preserve"> (2003). “Natural language processing.” </w:t>
      </w:r>
      <w:r w:rsidR="00BF0701" w:rsidRPr="00674463">
        <w:rPr>
          <w:i/>
        </w:rPr>
        <w:t>Annual</w:t>
      </w:r>
      <w:r w:rsidR="00BF0701" w:rsidRPr="00BF0701">
        <w:t xml:space="preserve"> </w:t>
      </w:r>
      <w:r w:rsidR="00BF0701" w:rsidRPr="00674463">
        <w:rPr>
          <w:i/>
        </w:rPr>
        <w:t>review of information science and technology</w:t>
      </w:r>
      <w:r w:rsidR="00BF0701" w:rsidRPr="00BF0701">
        <w:t>, 37(1), 51-89.</w:t>
      </w:r>
    </w:p>
    <w:p w:rsidR="00BF0701" w:rsidRDefault="00BF0701" w:rsidP="007561F9">
      <w:pPr>
        <w:pStyle w:val="IITSEC-Ref"/>
      </w:pPr>
      <w:r w:rsidRPr="00BF0701">
        <w:t xml:space="preserve">Collobert, R., &amp; Weston, J. (2008, July). “A unified architecture for natural language processing: Deep neural networks with multitask learning.” In Proceedings of the </w:t>
      </w:r>
      <w:r w:rsidRPr="00674463">
        <w:rPr>
          <w:i/>
        </w:rPr>
        <w:t xml:space="preserve">25th international conference on Machine learning </w:t>
      </w:r>
      <w:r w:rsidRPr="00BF0701">
        <w:t>(pp. 160-167). ACM.</w:t>
      </w:r>
    </w:p>
    <w:p w:rsidR="00674463" w:rsidRPr="00BF0701" w:rsidRDefault="00674463" w:rsidP="007561F9">
      <w:pPr>
        <w:pStyle w:val="IITSEC-Ref"/>
      </w:pPr>
      <w:r>
        <w:t xml:space="preserve">Gould, J. (2107), </w:t>
      </w:r>
      <w:r w:rsidRPr="00674463">
        <w:t>Military chiefs warn of force-readiness struggles</w:t>
      </w:r>
      <w:r>
        <w:t xml:space="preserve">, </w:t>
      </w:r>
      <w:r w:rsidRPr="00674463">
        <w:rPr>
          <w:i/>
        </w:rPr>
        <w:t>Defense News</w:t>
      </w:r>
      <w:r>
        <w:t xml:space="preserve">, Retrieved 15 January 2018 from:  </w:t>
      </w:r>
      <w:r w:rsidRPr="00674463">
        <w:t>https://www.defensenews.com/congress/2017/02/07/military-chiefs-warn-of-force-readiness-struggles/</w:t>
      </w:r>
    </w:p>
    <w:p w:rsidR="00BF0701" w:rsidRPr="00BF0701" w:rsidRDefault="00BF0701" w:rsidP="007561F9">
      <w:pPr>
        <w:pStyle w:val="IITSEC-Ref"/>
      </w:pPr>
      <w:r w:rsidRPr="00BF0701">
        <w:t xml:space="preserve">Kenny, P., Hartholt, A., Gratch, J., Swartout, W., Traum, D., Marsella, S., &amp; Piepol, D. (2007, November). “Building Interactive Virtual Humans for Training Environments.” In Proceedings of the </w:t>
      </w:r>
      <w:r w:rsidRPr="00BF0701">
        <w:rPr>
          <w:rStyle w:val="Emphasis"/>
        </w:rPr>
        <w:t>Interservice/Industry Simulation, Training and Education Conference</w:t>
      </w:r>
      <w:r w:rsidRPr="00BF0701">
        <w:t>, Orlando, Florida, 2007 (Vol. 174).</w:t>
      </w:r>
    </w:p>
    <w:p w:rsidR="00BF0701" w:rsidRPr="00BF0701" w:rsidRDefault="00BF0701" w:rsidP="007561F9">
      <w:pPr>
        <w:pStyle w:val="IITSEC-Ref"/>
      </w:pPr>
      <w:r w:rsidRPr="00BF0701">
        <w:t xml:space="preserve">Kudryavtsev, Andrey. "Automatic Speech Recognition Services Comparison." </w:t>
      </w:r>
      <w:r w:rsidRPr="00674463">
        <w:rPr>
          <w:i/>
        </w:rPr>
        <w:t>Grid Designer's Blog</w:t>
      </w:r>
      <w:r w:rsidRPr="00BF0701">
        <w:t>. N.p., 11 Jan. 2016.</w:t>
      </w:r>
      <w:r w:rsidR="00674463">
        <w:t xml:space="preserve"> Retrieved on 20 Apr. 2017 from: </w:t>
      </w:r>
      <w:r w:rsidRPr="00BF0701">
        <w:t>http://blog-archive.griddynamics.com/2016/01/automatic-s</w:t>
      </w:r>
      <w:r w:rsidR="00674463">
        <w:t>peech-recognition-services.html</w:t>
      </w:r>
      <w:r w:rsidRPr="00BF0701">
        <w:t>.</w:t>
      </w:r>
    </w:p>
    <w:p w:rsidR="00BF0701" w:rsidRDefault="00BF0701" w:rsidP="007561F9">
      <w:pPr>
        <w:pStyle w:val="IITSEC-Ref"/>
      </w:pPr>
      <w:r w:rsidRPr="00BF0701">
        <w:t xml:space="preserve">Lee, K. F. (1988). “Automatic speech recognition: the development of the SPHINX system” (Vol. 62). </w:t>
      </w:r>
      <w:r w:rsidRPr="00674463">
        <w:rPr>
          <w:i/>
        </w:rPr>
        <w:t>Springer Science &amp; Business Media</w:t>
      </w:r>
      <w:r w:rsidRPr="00BF0701">
        <w:t>.</w:t>
      </w:r>
    </w:p>
    <w:p w:rsidR="00365828" w:rsidRDefault="00365828" w:rsidP="007561F9">
      <w:pPr>
        <w:pStyle w:val="IITSEC-Ref"/>
      </w:pPr>
      <w:r>
        <w:t>Nye, B., Swartout, W., Campbell, J., Krishnamachari, M., Kaimakis, N. and Davis, D. (2017). "MentorPal: I</w:t>
      </w:r>
      <w:r>
        <w:t>n</w:t>
      </w:r>
      <w:r>
        <w:t xml:space="preserve">teractive Virtual Mentors Based on Real-Life STEM Professionals." in the Proceedings of the </w:t>
      </w:r>
      <w:r w:rsidRPr="00365828">
        <w:rPr>
          <w:i/>
        </w:rPr>
        <w:t>Interservice/Industry Simulation, Training and Education Conference,</w:t>
      </w:r>
      <w:r>
        <w:t xml:space="preserve"> Orlando, Florida, 2017</w:t>
      </w:r>
    </w:p>
    <w:p w:rsidR="007561F9" w:rsidRDefault="007561F9" w:rsidP="007561F9">
      <w:pPr>
        <w:pStyle w:val="IITSEC-Ref"/>
      </w:pPr>
      <w:r w:rsidRPr="007561F9">
        <w:t>Payne, S. C., &amp; Huffman, A. H. (2</w:t>
      </w:r>
      <w:r w:rsidR="00365828">
        <w:t>005). A longitudinal Examination of the Influence of Mentoring on O</w:t>
      </w:r>
      <w:r w:rsidRPr="007561F9">
        <w:t>rgan</w:t>
      </w:r>
      <w:r w:rsidRPr="007561F9">
        <w:t>i</w:t>
      </w:r>
      <w:r w:rsidRPr="007561F9">
        <w:t>za</w:t>
      </w:r>
      <w:r w:rsidR="00365828">
        <w:t>tional Commitment and T</w:t>
      </w:r>
      <w:r w:rsidRPr="007561F9">
        <w:t xml:space="preserve">urnover. </w:t>
      </w:r>
      <w:r w:rsidRPr="007561F9">
        <w:rPr>
          <w:i/>
        </w:rPr>
        <w:t>Academy of Management Journal</w:t>
      </w:r>
      <w:r w:rsidRPr="007561F9">
        <w:t>, 48(1), 158-168.</w:t>
      </w:r>
    </w:p>
    <w:p w:rsidR="009841BB" w:rsidRPr="00BF0701" w:rsidRDefault="009841BB" w:rsidP="007561F9">
      <w:pPr>
        <w:pStyle w:val="IITSEC-Ref"/>
      </w:pPr>
      <w:r w:rsidRPr="009841BB">
        <w:t>Pressman, R. S.</w:t>
      </w:r>
      <w:r>
        <w:t xml:space="preserve"> &amp; Maxim, B.</w:t>
      </w:r>
      <w:r w:rsidRPr="009841BB">
        <w:t xml:space="preserve"> (2005). </w:t>
      </w:r>
      <w:r w:rsidRPr="009841BB">
        <w:rPr>
          <w:i/>
        </w:rPr>
        <w:t>Software Engineering: a Practitioner's Approach</w:t>
      </w:r>
      <w:r w:rsidRPr="009841BB">
        <w:t>. Palgrave Macmillan</w:t>
      </w:r>
      <w:r>
        <w:t xml:space="preserve">, Basingstoke, UK, </w:t>
      </w:r>
      <w:r w:rsidRPr="009841BB">
        <w:t>.</w:t>
      </w:r>
    </w:p>
    <w:p w:rsidR="00BF0701" w:rsidRPr="00BF0701" w:rsidRDefault="00BF0701" w:rsidP="007561F9">
      <w:pPr>
        <w:pStyle w:val="IITSEC-Ref"/>
      </w:pPr>
      <w:r w:rsidRPr="00BF0701">
        <w:t xml:space="preserve">Rizzo, A., Lange, B., Buckwalter, J. G., Forbell, E., Kim, J., Sagae, K., ... &amp; Parsons, T. (2011). “SimCoach: an Intelligent Virtual Human System for Providing Healthcare Information and Support.” </w:t>
      </w:r>
      <w:r w:rsidRPr="00674463">
        <w:rPr>
          <w:i/>
        </w:rPr>
        <w:t>International Journal on Disability and Human Development</w:t>
      </w:r>
      <w:r w:rsidRPr="00BF0701">
        <w:t>, 10(4), 277-281.</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 xml:space="preserve">Satori, H, Harti, M., &amp; Chenfour, N. (2007). “Introduction to Arabic Speech Recognition using CMU Sphinx System.” </w:t>
      </w:r>
      <w:r w:rsidRPr="00674463">
        <w:rPr>
          <w:i/>
        </w:rPr>
        <w:t>arXiv preprint</w:t>
      </w:r>
      <w:r w:rsidRPr="00BF0701">
        <w:t xml:space="preserve"> arXiv:0704.2083.</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Gratch, J., Hill Jr., R W., Hovy, E., Marsella, S., Rickel, J., &amp; Traum, D. (2006). “Toward Vi</w:t>
      </w:r>
      <w:r w:rsidRPr="00BF0701">
        <w:t>r</w:t>
      </w:r>
      <w:r w:rsidRPr="00BF0701">
        <w:t xml:space="preserve">tual Humans.” </w:t>
      </w:r>
      <w:r w:rsidRPr="00674463">
        <w:rPr>
          <w:i/>
        </w:rPr>
        <w:t>AI Magazine</w:t>
      </w:r>
      <w:r w:rsidRPr="00BF0701">
        <w:t>, 27(2), 96.</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 xml:space="preserve">Swartout, W. R., Nye, B. D., Hartholt, A., Reilly, A., Graesser, A. C., VanLehn, K., ... &amp; Wang, L. (2016, March). “Designing a Personal Assistant for Life-Long Learning (PAL3).” In </w:t>
      </w:r>
      <w:r w:rsidRPr="00674463">
        <w:rPr>
          <w:i/>
        </w:rPr>
        <w:t>The Twenty-Ninth International Flairs Conference</w:t>
      </w:r>
      <w:r w:rsidRPr="00BF0701">
        <w:t>.</w:t>
      </w:r>
    </w:p>
    <w:p w:rsidR="007561F9" w:rsidRPr="00BF0701" w:rsidRDefault="00BF0701" w:rsidP="007561F9">
      <w:pPr>
        <w:pStyle w:val="SIW-Ref"/>
        <w:keepLines/>
        <w:widowControl/>
        <w:numPr>
          <w:ilvl w:val="0"/>
          <w:numId w:val="0"/>
        </w:numPr>
        <w:tabs>
          <w:tab w:val="clear" w:pos="450"/>
          <w:tab w:val="left" w:pos="540"/>
        </w:tabs>
        <w:ind w:left="374" w:right="187" w:hanging="187"/>
      </w:pPr>
      <w:r w:rsidRPr="00BF0701">
        <w:t xml:space="preserve">Traum, D., &amp; Rickel, J. (2002, July). “Embodied Agents for Multi-party Dialogue in Immersive Virtual Worlds.” In Proceedings of the first </w:t>
      </w:r>
      <w:r w:rsidRPr="00674463">
        <w:rPr>
          <w:i/>
        </w:rPr>
        <w:t>International Joint Conference on Autonomous Agents and Multi-agent Systems</w:t>
      </w:r>
      <w:r w:rsidRPr="00BF0701">
        <w:t>: part 2 (pp. 766-773). ACM.</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Traum, D., Jones, A., Hays, K., Maio, H., Alexander, O., Artstein, R., Debevec, P., Gainer, A., Georgila, K., Haase, K., Jungblut, K., Leuski, A., Smith, S., &amp; Jungblut, K. (2015, November). “New Dimensions in Te</w:t>
      </w:r>
      <w:r w:rsidRPr="00BF0701">
        <w:t>s</w:t>
      </w:r>
      <w:r w:rsidRPr="00BF0701">
        <w:t xml:space="preserve">timony: Digitally Preserving a Holocaust Survivor’s Interactive Storytelling.” In </w:t>
      </w:r>
      <w:r w:rsidRPr="00674463">
        <w:rPr>
          <w:i/>
        </w:rPr>
        <w:t>International Conference on Interactive Digital Storytelling</w:t>
      </w:r>
      <w:r w:rsidRPr="00BF0701">
        <w:t xml:space="preserve"> (pp. 269-281). “Springer International Publishing.</w:t>
      </w:r>
    </w:p>
    <w:p w:rsidR="00BF0701" w:rsidRDefault="00BF0701" w:rsidP="007561F9">
      <w:pPr>
        <w:pStyle w:val="IITSEC-Ref"/>
      </w:pPr>
    </w:p>
    <w:p w:rsidR="00CD0FC2" w:rsidRDefault="00CD0FC2" w:rsidP="007561F9">
      <w:pPr>
        <w:pStyle w:val="IITSEC-Ref"/>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20"/>
      <w:footerReference w:type="default" r:id="rId21"/>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DE2" w:rsidRDefault="00705DE2">
      <w:r>
        <w:separator/>
      </w:r>
    </w:p>
  </w:endnote>
  <w:endnote w:type="continuationSeparator" w:id="0">
    <w:p w:rsidR="00705DE2" w:rsidRDefault="00705D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56 </w:t>
    </w:r>
    <w:r w:rsidR="000A1DE4">
      <w:rPr>
        <w:i/>
        <w:sz w:val="18"/>
        <w:szCs w:val="18"/>
      </w:rPr>
      <w:t xml:space="preserve"> </w:t>
    </w:r>
    <w:r w:rsidR="000A1DE4">
      <w:rPr>
        <w:i/>
        <w:snapToGrid w:val="0"/>
        <w:sz w:val="18"/>
        <w:szCs w:val="18"/>
      </w:rPr>
      <w:t xml:space="preserve">Page </w:t>
    </w:r>
    <w:r w:rsidR="00EF315D">
      <w:rPr>
        <w:i/>
        <w:snapToGrid w:val="0"/>
        <w:sz w:val="18"/>
        <w:szCs w:val="18"/>
      </w:rPr>
      <w:fldChar w:fldCharType="begin"/>
    </w:r>
    <w:r w:rsidR="000A1DE4">
      <w:rPr>
        <w:i/>
        <w:snapToGrid w:val="0"/>
        <w:sz w:val="18"/>
        <w:szCs w:val="18"/>
      </w:rPr>
      <w:instrText xml:space="preserve"> PAGE </w:instrText>
    </w:r>
    <w:r w:rsidR="00EF315D">
      <w:rPr>
        <w:i/>
        <w:snapToGrid w:val="0"/>
        <w:sz w:val="18"/>
        <w:szCs w:val="18"/>
      </w:rPr>
      <w:fldChar w:fldCharType="separate"/>
    </w:r>
    <w:r w:rsidR="00B238D0">
      <w:rPr>
        <w:i/>
        <w:noProof/>
        <w:snapToGrid w:val="0"/>
        <w:sz w:val="18"/>
        <w:szCs w:val="18"/>
      </w:rPr>
      <w:t>1</w:t>
    </w:r>
    <w:r w:rsidR="00EF315D">
      <w:rPr>
        <w:i/>
        <w:snapToGrid w:val="0"/>
        <w:sz w:val="18"/>
        <w:szCs w:val="18"/>
      </w:rPr>
      <w:fldChar w:fldCharType="end"/>
    </w:r>
    <w:r w:rsidR="000A1DE4">
      <w:rPr>
        <w:i/>
        <w:snapToGrid w:val="0"/>
        <w:sz w:val="18"/>
        <w:szCs w:val="18"/>
      </w:rPr>
      <w:t xml:space="preserve"> of </w:t>
    </w:r>
    <w:r w:rsidR="00EF315D">
      <w:rPr>
        <w:i/>
        <w:snapToGrid w:val="0"/>
        <w:sz w:val="18"/>
        <w:szCs w:val="18"/>
      </w:rPr>
      <w:fldChar w:fldCharType="begin"/>
    </w:r>
    <w:r w:rsidR="000A1DE4">
      <w:rPr>
        <w:i/>
        <w:snapToGrid w:val="0"/>
        <w:sz w:val="18"/>
        <w:szCs w:val="18"/>
      </w:rPr>
      <w:instrText xml:space="preserve"> NUMPAGES </w:instrText>
    </w:r>
    <w:r w:rsidR="00EF315D">
      <w:rPr>
        <w:i/>
        <w:snapToGrid w:val="0"/>
        <w:sz w:val="18"/>
        <w:szCs w:val="18"/>
      </w:rPr>
      <w:fldChar w:fldCharType="separate"/>
    </w:r>
    <w:r w:rsidR="00B238D0">
      <w:rPr>
        <w:i/>
        <w:noProof/>
        <w:snapToGrid w:val="0"/>
        <w:sz w:val="18"/>
        <w:szCs w:val="18"/>
      </w:rPr>
      <w:t>12</w:t>
    </w:r>
    <w:r w:rsidR="00EF315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DE2" w:rsidRDefault="00705DE2">
      <w:r>
        <w:separator/>
      </w:r>
    </w:p>
  </w:footnote>
  <w:footnote w:type="continuationSeparator" w:id="0">
    <w:p w:rsidR="00705DE2" w:rsidRDefault="00705D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44386"/>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6301"/>
    <w:rsid w:val="000413D5"/>
    <w:rsid w:val="00045F9B"/>
    <w:rsid w:val="000477E1"/>
    <w:rsid w:val="000502CE"/>
    <w:rsid w:val="0005593A"/>
    <w:rsid w:val="0005739D"/>
    <w:rsid w:val="000612C8"/>
    <w:rsid w:val="00065002"/>
    <w:rsid w:val="00066D00"/>
    <w:rsid w:val="00066D1A"/>
    <w:rsid w:val="00070559"/>
    <w:rsid w:val="000715DC"/>
    <w:rsid w:val="00074940"/>
    <w:rsid w:val="00075DB3"/>
    <w:rsid w:val="00087D35"/>
    <w:rsid w:val="000905FD"/>
    <w:rsid w:val="000A1DE4"/>
    <w:rsid w:val="000A767C"/>
    <w:rsid w:val="000C1C99"/>
    <w:rsid w:val="000C4F68"/>
    <w:rsid w:val="000C50F0"/>
    <w:rsid w:val="000D1496"/>
    <w:rsid w:val="000D660B"/>
    <w:rsid w:val="000F3D8C"/>
    <w:rsid w:val="000F41F5"/>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85E14"/>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65828"/>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F138E"/>
    <w:rsid w:val="003F2BB2"/>
    <w:rsid w:val="003F34CE"/>
    <w:rsid w:val="003F70FA"/>
    <w:rsid w:val="00400A41"/>
    <w:rsid w:val="0040733B"/>
    <w:rsid w:val="00414D08"/>
    <w:rsid w:val="004235A8"/>
    <w:rsid w:val="004256CC"/>
    <w:rsid w:val="0043042A"/>
    <w:rsid w:val="00432753"/>
    <w:rsid w:val="0044471B"/>
    <w:rsid w:val="00454FB0"/>
    <w:rsid w:val="0045657A"/>
    <w:rsid w:val="00457803"/>
    <w:rsid w:val="0045789F"/>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12E2"/>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2FBF"/>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4463"/>
    <w:rsid w:val="00675039"/>
    <w:rsid w:val="00675293"/>
    <w:rsid w:val="00676BBE"/>
    <w:rsid w:val="00682F9F"/>
    <w:rsid w:val="00694ECB"/>
    <w:rsid w:val="006A46AC"/>
    <w:rsid w:val="006B0887"/>
    <w:rsid w:val="006B0971"/>
    <w:rsid w:val="006B7AF1"/>
    <w:rsid w:val="006C12A7"/>
    <w:rsid w:val="006C46CB"/>
    <w:rsid w:val="006C6517"/>
    <w:rsid w:val="006D3F05"/>
    <w:rsid w:val="006E6255"/>
    <w:rsid w:val="006F563C"/>
    <w:rsid w:val="00700B07"/>
    <w:rsid w:val="007024BE"/>
    <w:rsid w:val="007038B3"/>
    <w:rsid w:val="00705DE2"/>
    <w:rsid w:val="00713316"/>
    <w:rsid w:val="0071734F"/>
    <w:rsid w:val="007223B2"/>
    <w:rsid w:val="00723E3B"/>
    <w:rsid w:val="007247E1"/>
    <w:rsid w:val="00726031"/>
    <w:rsid w:val="00732FA6"/>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62D9"/>
    <w:rsid w:val="007A5312"/>
    <w:rsid w:val="007C1C8F"/>
    <w:rsid w:val="007C263F"/>
    <w:rsid w:val="007C606B"/>
    <w:rsid w:val="007D3F33"/>
    <w:rsid w:val="007D653E"/>
    <w:rsid w:val="007E2964"/>
    <w:rsid w:val="007E4DC6"/>
    <w:rsid w:val="007E4F2F"/>
    <w:rsid w:val="007E65E5"/>
    <w:rsid w:val="007F44C6"/>
    <w:rsid w:val="007F7393"/>
    <w:rsid w:val="008070F5"/>
    <w:rsid w:val="00810C67"/>
    <w:rsid w:val="008116E6"/>
    <w:rsid w:val="00827673"/>
    <w:rsid w:val="00832BFD"/>
    <w:rsid w:val="008369E8"/>
    <w:rsid w:val="00843927"/>
    <w:rsid w:val="00850E24"/>
    <w:rsid w:val="00851034"/>
    <w:rsid w:val="00851495"/>
    <w:rsid w:val="00856783"/>
    <w:rsid w:val="00860816"/>
    <w:rsid w:val="00862EB5"/>
    <w:rsid w:val="00866FC2"/>
    <w:rsid w:val="00870BF0"/>
    <w:rsid w:val="008713D6"/>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12F5"/>
    <w:rsid w:val="009648EB"/>
    <w:rsid w:val="00965B07"/>
    <w:rsid w:val="00971F3D"/>
    <w:rsid w:val="00980717"/>
    <w:rsid w:val="009841BB"/>
    <w:rsid w:val="009A12AC"/>
    <w:rsid w:val="009A2A2B"/>
    <w:rsid w:val="009A4C9D"/>
    <w:rsid w:val="009B1D7D"/>
    <w:rsid w:val="009C1643"/>
    <w:rsid w:val="009C4AB9"/>
    <w:rsid w:val="009C7EAE"/>
    <w:rsid w:val="009D43E0"/>
    <w:rsid w:val="009E73D4"/>
    <w:rsid w:val="009F300B"/>
    <w:rsid w:val="009F4744"/>
    <w:rsid w:val="00A163F3"/>
    <w:rsid w:val="00A314C3"/>
    <w:rsid w:val="00A354E0"/>
    <w:rsid w:val="00A43B93"/>
    <w:rsid w:val="00A4442B"/>
    <w:rsid w:val="00A50643"/>
    <w:rsid w:val="00A512E9"/>
    <w:rsid w:val="00A54CD5"/>
    <w:rsid w:val="00A566D5"/>
    <w:rsid w:val="00A57CF2"/>
    <w:rsid w:val="00A62146"/>
    <w:rsid w:val="00A649C5"/>
    <w:rsid w:val="00A7039A"/>
    <w:rsid w:val="00A84D10"/>
    <w:rsid w:val="00A96B5A"/>
    <w:rsid w:val="00AA07F5"/>
    <w:rsid w:val="00AB1AA2"/>
    <w:rsid w:val="00AB3A67"/>
    <w:rsid w:val="00AC327B"/>
    <w:rsid w:val="00AD0B21"/>
    <w:rsid w:val="00AD1282"/>
    <w:rsid w:val="00AD2D9D"/>
    <w:rsid w:val="00AD4CCD"/>
    <w:rsid w:val="00AE4823"/>
    <w:rsid w:val="00AF1BD9"/>
    <w:rsid w:val="00AF3A40"/>
    <w:rsid w:val="00AF61A5"/>
    <w:rsid w:val="00AF6F25"/>
    <w:rsid w:val="00B0660E"/>
    <w:rsid w:val="00B077F4"/>
    <w:rsid w:val="00B22F59"/>
    <w:rsid w:val="00B238D0"/>
    <w:rsid w:val="00B30E27"/>
    <w:rsid w:val="00B32F4A"/>
    <w:rsid w:val="00B33B0E"/>
    <w:rsid w:val="00B4181E"/>
    <w:rsid w:val="00B44E32"/>
    <w:rsid w:val="00B50713"/>
    <w:rsid w:val="00B57685"/>
    <w:rsid w:val="00B57A4D"/>
    <w:rsid w:val="00B60E39"/>
    <w:rsid w:val="00B624F2"/>
    <w:rsid w:val="00B70367"/>
    <w:rsid w:val="00B81A59"/>
    <w:rsid w:val="00B8600C"/>
    <w:rsid w:val="00B90BEA"/>
    <w:rsid w:val="00B95E43"/>
    <w:rsid w:val="00BA1528"/>
    <w:rsid w:val="00BA17CB"/>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852BF"/>
    <w:rsid w:val="00C9057B"/>
    <w:rsid w:val="00CA31B4"/>
    <w:rsid w:val="00CA4571"/>
    <w:rsid w:val="00CA69E8"/>
    <w:rsid w:val="00CC0272"/>
    <w:rsid w:val="00CC2B71"/>
    <w:rsid w:val="00CD01F7"/>
    <w:rsid w:val="00CD0FC2"/>
    <w:rsid w:val="00CD5128"/>
    <w:rsid w:val="00CD5556"/>
    <w:rsid w:val="00CE614A"/>
    <w:rsid w:val="00CE634C"/>
    <w:rsid w:val="00CF4E8F"/>
    <w:rsid w:val="00CF6760"/>
    <w:rsid w:val="00D02740"/>
    <w:rsid w:val="00D079ED"/>
    <w:rsid w:val="00D15856"/>
    <w:rsid w:val="00D25B5E"/>
    <w:rsid w:val="00D26937"/>
    <w:rsid w:val="00D32EBD"/>
    <w:rsid w:val="00D33F31"/>
    <w:rsid w:val="00D416DA"/>
    <w:rsid w:val="00D60F26"/>
    <w:rsid w:val="00D63FE3"/>
    <w:rsid w:val="00D66E31"/>
    <w:rsid w:val="00D814EB"/>
    <w:rsid w:val="00D912FF"/>
    <w:rsid w:val="00D91DA8"/>
    <w:rsid w:val="00D93A9C"/>
    <w:rsid w:val="00D97AB7"/>
    <w:rsid w:val="00DA1EAA"/>
    <w:rsid w:val="00DA2496"/>
    <w:rsid w:val="00DA30B3"/>
    <w:rsid w:val="00DA4AE3"/>
    <w:rsid w:val="00DB019D"/>
    <w:rsid w:val="00DB0C02"/>
    <w:rsid w:val="00DB1049"/>
    <w:rsid w:val="00DB6129"/>
    <w:rsid w:val="00DC591D"/>
    <w:rsid w:val="00DD2087"/>
    <w:rsid w:val="00DD508E"/>
    <w:rsid w:val="00DE1647"/>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3A79"/>
    <w:rsid w:val="00E56AB8"/>
    <w:rsid w:val="00E62D04"/>
    <w:rsid w:val="00E6741F"/>
    <w:rsid w:val="00E72BF5"/>
    <w:rsid w:val="00E73C32"/>
    <w:rsid w:val="00E803AC"/>
    <w:rsid w:val="00E807FA"/>
    <w:rsid w:val="00E92D1E"/>
    <w:rsid w:val="00EA3E65"/>
    <w:rsid w:val="00EB03F4"/>
    <w:rsid w:val="00EB0F97"/>
    <w:rsid w:val="00EB1C23"/>
    <w:rsid w:val="00EC3FBB"/>
    <w:rsid w:val="00EE3DEC"/>
    <w:rsid w:val="00EF245C"/>
    <w:rsid w:val="00EF315D"/>
    <w:rsid w:val="00EF6333"/>
    <w:rsid w:val="00EF78A2"/>
    <w:rsid w:val="00F01C00"/>
    <w:rsid w:val="00F12494"/>
    <w:rsid w:val="00F16A87"/>
    <w:rsid w:val="00F212E2"/>
    <w:rsid w:val="00F22FD6"/>
    <w:rsid w:val="00F257E1"/>
    <w:rsid w:val="00F36786"/>
    <w:rsid w:val="00F40242"/>
    <w:rsid w:val="00F438C6"/>
    <w:rsid w:val="00F44B0C"/>
    <w:rsid w:val="00F51A55"/>
    <w:rsid w:val="00F52D45"/>
    <w:rsid w:val="00F538B2"/>
    <w:rsid w:val="00F6583D"/>
    <w:rsid w:val="00F71E73"/>
    <w:rsid w:val="00F73271"/>
    <w:rsid w:val="00F77C36"/>
    <w:rsid w:val="00F92968"/>
    <w:rsid w:val="00F937D4"/>
    <w:rsid w:val="00FB7893"/>
    <w:rsid w:val="00FC0E73"/>
    <w:rsid w:val="00FC39A4"/>
    <w:rsid w:val="00FC64F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1B7135C-E87B-4BAB-B895-016DCBBF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12</Pages>
  <Words>4156</Words>
  <Characters>23691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27792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2018-01-16T17:27:00Z</cp:lastPrinted>
  <dcterms:created xsi:type="dcterms:W3CDTF">2018-01-16T19:00:00Z</dcterms:created>
  <dcterms:modified xsi:type="dcterms:W3CDTF">2018-01-16T19:00:00Z</dcterms:modified>
</cp:coreProperties>
</file>