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w:t>
      </w:r>
      <w:r w:rsidR="00B505D1">
        <w:rPr>
          <w:iCs/>
        </w:rPr>
        <w:t>professionals</w:t>
      </w:r>
      <w:r w:rsidRPr="00C5408A">
        <w:rPr>
          <w:iCs/>
        </w:rPr>
        <w:t xml:space="preserve"> who are needed to </w:t>
      </w:r>
      <w:r w:rsidR="005654D2">
        <w:rPr>
          <w:iCs/>
        </w:rPr>
        <w:t>counsel personnel</w:t>
      </w:r>
      <w:r w:rsidRPr="00C5408A">
        <w:rPr>
          <w:iCs/>
        </w:rPr>
        <w:t>. One method that has demonstrable capability and has found uti</w:t>
      </w:r>
      <w:r w:rsidRPr="00C5408A">
        <w:rPr>
          <w:iCs/>
        </w:rPr>
        <w:t>l</w:t>
      </w:r>
      <w:r w:rsidRPr="00C5408A">
        <w:rPr>
          <w:iCs/>
        </w:rPr>
        <w:t>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w:t>
      </w:r>
      <w:r w:rsidRPr="00C5408A">
        <w:rPr>
          <w:iCs/>
        </w:rPr>
        <w:t>r</w:t>
      </w:r>
      <w:r w:rsidRPr="00C5408A">
        <w:rPr>
          <w:iCs/>
        </w:rPr>
        <w:t>mane questions. These avatars can be either animated or live (via a large number of video clips). Early research and development has focused on “hand crafting” question lists, paraphrases, recording scripts, utterances, transcri</w:t>
      </w:r>
      <w:r w:rsidRPr="00C5408A">
        <w:rPr>
          <w:iCs/>
        </w:rPr>
        <w:t>p</w:t>
      </w:r>
      <w:r w:rsidRPr="00C5408A">
        <w:rPr>
          <w:iCs/>
        </w:rPr>
        <w:t>tions, video editing, validation, testing, and updating. The administrative burden of all of this has begun to ove</w:t>
      </w:r>
      <w:r w:rsidRPr="00C5408A">
        <w:rPr>
          <w:iCs/>
        </w:rPr>
        <w:t>r</w:t>
      </w:r>
      <w:r w:rsidRPr="00C5408A">
        <w:rPr>
          <w:iCs/>
        </w:rPr>
        <w:t xml:space="preserve">shadow the scientific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implemen</w:t>
      </w:r>
      <w:r w:rsidRPr="00C5408A">
        <w:rPr>
          <w:iCs/>
        </w:rPr>
        <w:t>t</w:t>
      </w:r>
      <w:r w:rsidR="005654D2">
        <w:rPr>
          <w:iCs/>
        </w:rPr>
        <w:t>ed</w:t>
      </w:r>
      <w:r w:rsidRPr="00C5408A">
        <w:rPr>
          <w:iCs/>
        </w:rPr>
        <w:t xml:space="preserve">, the skills of system engineering are seen as </w:t>
      </w:r>
      <w:r w:rsidR="005654D2">
        <w:rPr>
          <w:iCs/>
        </w:rPr>
        <w:t xml:space="preserve">potential </w:t>
      </w:r>
      <w:r w:rsidRPr="00C5408A">
        <w:rPr>
          <w:iCs/>
        </w:rPr>
        <w:t>facilitators for optimizing the production process. This p</w:t>
      </w:r>
      <w:r w:rsidRPr="00C5408A">
        <w:rPr>
          <w:iCs/>
        </w:rPr>
        <w:t>a</w:t>
      </w:r>
      <w:r w:rsidRPr="00C5408A">
        <w:rPr>
          <w:iCs/>
        </w:rPr>
        <w:t xml:space="preserve">per addresses early experience with </w:t>
      </w:r>
      <w:r w:rsidR="005654D2">
        <w:rPr>
          <w:iCs/>
        </w:rPr>
        <w:t>enhancing</w:t>
      </w:r>
      <w:r w:rsidRPr="00C5408A">
        <w:rPr>
          <w:iCs/>
        </w:rPr>
        <w:t xml:space="preserve"> an on-going project </w:t>
      </w:r>
      <w:r w:rsidR="005654D2">
        <w:rPr>
          <w:iCs/>
        </w:rPr>
        <w:t>via</w:t>
      </w:r>
      <w:r w:rsidRPr="00C5408A">
        <w:rPr>
          <w:iCs/>
        </w:rPr>
        <w:t xml:space="preserve"> system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w:t>
      </w:r>
      <w:r w:rsidRPr="00C5408A">
        <w:rPr>
          <w:iCs/>
        </w:rPr>
        <w:t>h</w:t>
      </w:r>
      <w:r w:rsidRPr="00C5408A">
        <w:rPr>
          <w:iCs/>
        </w:rPr>
        <w:t>niques pr</w:t>
      </w:r>
      <w:r w:rsidRPr="00C5408A">
        <w:rPr>
          <w:iCs/>
        </w:rPr>
        <w:t>o</w:t>
      </w:r>
      <w:r w:rsidRPr="00C5408A">
        <w:rPr>
          <w:iCs/>
        </w:rPr>
        <w:t>vide a real opportunity</w:t>
      </w:r>
      <w:r w:rsidR="005654D2" w:rsidRPr="00C5408A">
        <w:rPr>
          <w:iCs/>
        </w:rPr>
        <w:t xml:space="preserve"> in the </w:t>
      </w:r>
      <w:proofErr w:type="gramStart"/>
      <w:r w:rsidR="005654D2" w:rsidRPr="00C5408A">
        <w:rPr>
          <w:iCs/>
        </w:rPr>
        <w:t>DoD</w:t>
      </w:r>
      <w:proofErr w:type="gramEnd"/>
      <w:r w:rsidRPr="00C5408A">
        <w:rPr>
          <w:iCs/>
        </w:rPr>
        <w:t xml:space="preserve"> to make manifest the early successes demonstrated in research settings. Optimi</w:t>
      </w:r>
      <w:r w:rsidRPr="00C5408A">
        <w:rPr>
          <w:iCs/>
        </w:rPr>
        <w:t>z</w:t>
      </w:r>
      <w:r w:rsidRPr="00C5408A">
        <w:rPr>
          <w:iCs/>
        </w:rPr>
        <w:t>ing just the transcription phase would save significant amounts of implementation time. The paper then lays out both early r</w:t>
      </w:r>
      <w:r w:rsidRPr="00C5408A">
        <w:rPr>
          <w:iCs/>
        </w:rPr>
        <w:t>e</w:t>
      </w:r>
      <w:r w:rsidRPr="00C5408A">
        <w:rPr>
          <w:iCs/>
        </w:rPr>
        <w:t>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br w:type="page"/>
      </w:r>
    </w:p>
    <w:p w:rsidR="005152B1" w:rsidRPr="00526F7B" w:rsidRDefault="005152B1" w:rsidP="005152B1">
      <w:pPr>
        <w:jc w:val="center"/>
        <w:rPr>
          <w:b/>
          <w:sz w:val="28"/>
        </w:rPr>
      </w:pPr>
      <w:r>
        <w:rPr>
          <w:b/>
          <w:sz w:val="28"/>
        </w:rPr>
        <w:lastRenderedPageBreak/>
        <w:t>System Engineering</w:t>
      </w:r>
      <w:r w:rsidRPr="00526F7B">
        <w:rPr>
          <w:b/>
          <w:sz w:val="28"/>
        </w:rPr>
        <w:t xml:space="preserve">: </w:t>
      </w:r>
      <w:r w:rsidRPr="00526F7B">
        <w:rPr>
          <w:b/>
          <w:sz w:val="28"/>
        </w:rPr>
        <w:br/>
      </w:r>
      <w:r>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7720F0">
        <w:trPr>
          <w:trHeight w:hRule="exact" w:val="273"/>
          <w:jc w:val="center"/>
        </w:trPr>
        <w:tc>
          <w:tcPr>
            <w:tcW w:w="3542" w:type="dxa"/>
          </w:tcPr>
          <w:p w:rsidR="005152B1" w:rsidRPr="00F05952" w:rsidRDefault="005152B1" w:rsidP="007720F0">
            <w:pPr>
              <w:jc w:val="center"/>
              <w:rPr>
                <w:b/>
              </w:rPr>
            </w:pPr>
            <w:r>
              <w:rPr>
                <w:b/>
              </w:rPr>
              <w:t>Daniel P. Burns</w:t>
            </w:r>
          </w:p>
        </w:tc>
        <w:tc>
          <w:tcPr>
            <w:tcW w:w="4311" w:type="dxa"/>
          </w:tcPr>
          <w:p w:rsidR="005152B1" w:rsidRPr="00F05952" w:rsidRDefault="005152B1" w:rsidP="007720F0">
            <w:pPr>
              <w:jc w:val="center"/>
              <w:rPr>
                <w:b/>
              </w:rPr>
            </w:pPr>
            <w:r w:rsidRPr="00F05952">
              <w:rPr>
                <w:b/>
              </w:rPr>
              <w:t>Dan M. Davis</w:t>
            </w:r>
            <w:r>
              <w:rPr>
                <w:b/>
              </w:rPr>
              <w:t xml:space="preserve"> &amp; Julianne Nordhagen</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Home Ports Solutions</w:t>
            </w:r>
          </w:p>
        </w:tc>
        <w:tc>
          <w:tcPr>
            <w:tcW w:w="4311" w:type="dxa"/>
          </w:tcPr>
          <w:p w:rsidR="005152B1" w:rsidRPr="00F05952" w:rsidRDefault="005152B1" w:rsidP="007720F0">
            <w:pPr>
              <w:jc w:val="center"/>
              <w:rPr>
                <w:b/>
              </w:rPr>
            </w:pPr>
            <w:r>
              <w:rPr>
                <w:b/>
              </w:rPr>
              <w:t>University of Southern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Los Angeles, California</w:t>
            </w:r>
          </w:p>
        </w:tc>
        <w:tc>
          <w:tcPr>
            <w:tcW w:w="4311" w:type="dxa"/>
          </w:tcPr>
          <w:p w:rsidR="005152B1" w:rsidRPr="00F05952" w:rsidRDefault="005152B1" w:rsidP="007720F0">
            <w:pPr>
              <w:jc w:val="center"/>
              <w:rPr>
                <w:b/>
              </w:rPr>
            </w:pPr>
            <w:r>
              <w:rPr>
                <w:b/>
              </w:rPr>
              <w:t>Los Angeles</w:t>
            </w:r>
            <w:r w:rsidRPr="00F05952">
              <w:rPr>
                <w:b/>
              </w:rPr>
              <w:t>,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sidRPr="00F01C00">
              <w:rPr>
                <w:b/>
              </w:rPr>
              <w:t>daniel.p.burns@homeportsolutions.net</w:t>
            </w:r>
          </w:p>
        </w:tc>
        <w:tc>
          <w:tcPr>
            <w:tcW w:w="4311" w:type="dxa"/>
          </w:tcPr>
          <w:p w:rsidR="005152B1" w:rsidRPr="00F05952" w:rsidRDefault="005152B1" w:rsidP="007720F0">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851034" w:rsidRDefault="00851034"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 System Engineering (SE) techniques, tools and approaches to enhance the conduct of simulation research, specifically Virtual Human implementation.  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  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 xml:space="preserve">The paper is organized in four parts.  The first will be a background discussion of the advances made </w:t>
      </w:r>
      <w:r w:rsidR="00001B2B">
        <w:t>in the capabil</w:t>
      </w:r>
      <w:r w:rsidR="00001B2B">
        <w:t>i</w:t>
      </w:r>
      <w:r w:rsidR="00001B2B">
        <w:t xml:space="preserve">ties of VH technologies over the last few decades.  The second section will cover the Mentor PAL project at ICT, setting forth the project’s goals, implementation plans, early experiences, and current results.  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8E4B22" w:rsidRDefault="008E4B22" w:rsidP="000905FD">
      <w:pPr>
        <w:jc w:val="both"/>
      </w:pPr>
    </w:p>
    <w:p w:rsidR="008E4B22" w:rsidRDefault="009370B9" w:rsidP="000905FD">
      <w:pPr>
        <w:jc w:val="both"/>
      </w:pPr>
      <w:r>
        <w:t>As this project is still part of an active research effort at ICT, new data is being collected daily and new tools and methods are being evaluated. The results and insights from these activities will be presented in the presentation at the conference and the slides from that presentation be made available on-line after the conference.  It should be pointed out at the onset that this optimization work was not the directed focus of the project, but is an unfunded co</w:t>
      </w:r>
      <w:r>
        <w:t>n</w:t>
      </w:r>
      <w:r>
        <w:t>tribution of the staff members and of interested U.S. Naval officers, both active duty and reservists.  While the a</w:t>
      </w:r>
      <w:r>
        <w:t>u</w:t>
      </w:r>
      <w:r>
        <w:t xml:space="preserve">thors acknowledge the lack of scientific rigor that would have been possible with a funded project, they believe that valuable insights have been garnered and they think that it is their professional obligation to share the lessons they have learned with their research colleagues.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often under-staffed conditions continue to constrain the amount of time that experienced personnel have to train, </w:t>
      </w:r>
      <w:r w:rsidR="003A766C">
        <w:t>advise</w:t>
      </w:r>
      <w:r w:rsidR="00564733">
        <w:t xml:space="preserve"> and mentor those who follow them</w:t>
      </w:r>
      <w:r>
        <w:t xml:space="preserve"> (Gould, 2017) T</w:t>
      </w:r>
      <w:r w:rsidR="00564733">
        <w:t xml:space="preserve">hose same conditions </w:t>
      </w:r>
      <w:r w:rsidR="003A766C">
        <w:t>create an increased need for such counseling to maintain readiness, improve morale and e</w:t>
      </w:r>
      <w:r w:rsidR="003A766C">
        <w:t>n</w:t>
      </w:r>
      <w:r w:rsidR="003A766C">
        <w:t>hance retention of the Navy’s most valuable asset: the sailors and officers</w:t>
      </w:r>
      <w:r w:rsidR="007561F9">
        <w:t xml:space="preserve"> (Payne &amp; Huffman, 2005)</w:t>
      </w:r>
      <w:r w:rsidR="003A766C">
        <w:t>. The authors have observed that virtually every type of unit the Navy must face these issues. They assert that a method for stan</w:t>
      </w:r>
      <w:r w:rsidR="003A766C">
        <w:t>d</w:t>
      </w:r>
      <w:r w:rsidR="003A766C">
        <w:t>ardizing and disseminating such advice globally and at any time on any day would make such information transfer more beneficial.</w:t>
      </w:r>
    </w:p>
    <w:p w:rsidR="003A766C" w:rsidRDefault="003A766C"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lastRenderedPageBreak/>
        <w:t>tive Technologies (ICT) is the home of myriad simulation projects, and it considers virtual reality to be its primary focus. Researchers at ICT have generated SimCoach, New Dimensions in Testimony (NDT), PAL3, MentorPAL, and other generalized programs under learning sciences, medical VR, mixed reality, narrative storytelling, social stimulation, virtual humans, and vision and graphics. The breadth of knowledge available is significant and the use of these resources has allowed advances in the implementing of virtual humans.  The presentation to the user can take many forms, as shown in Figures 1-3 (All ICT Photos).</w:t>
      </w:r>
    </w:p>
    <w:p w:rsidR="00CD0FC2" w:rsidRDefault="00CD0FC2" w:rsidP="00CD0FC2">
      <w:pPr>
        <w:jc w:val="both"/>
      </w:pPr>
    </w:p>
    <w:p w:rsidR="00CD0FC2" w:rsidRDefault="00CD0FC2" w:rsidP="00CD0FC2">
      <w:pPr>
        <w:ind w:left="-450" w:right="-450"/>
      </w:pPr>
      <w:r>
        <w:t xml:space="preserve">     </w:t>
      </w:r>
      <w:r w:rsidR="00EB2A2E">
        <w:pict>
          <v:shapetype id="_x0000_t202" coordsize="21600,21600" o:spt="202" path="m,l,21600r21600,l21600,xe">
            <v:stroke joinstyle="miter"/>
            <v:path gradientshapeok="t" o:connecttype="rect"/>
          </v:shapetype>
          <v:shape id="_x0000_s1037" type="#_x0000_t202" style="width:157.4pt;height:152.15pt;mso-position-horizontal-relative:char;mso-position-vertical-relative:line;mso-width-relative:margin;mso-height-relative:margin" stroked="f">
            <v:textbox style="mso-next-textbox:#_x0000_s1037">
              <w:txbxContent>
                <w:p w:rsidR="00CD0FC2" w:rsidRDefault="00CD0FC2" w:rsidP="00D20A15">
                  <w:pPr>
                    <w:pStyle w:val="Caption"/>
                    <w:keepNext/>
                    <w:jc w:val="center"/>
                  </w:pPr>
                  <w:r w:rsidRPr="00D30BA0">
                    <w:rPr>
                      <w:noProof/>
                    </w:rPr>
                    <w:drawing>
                      <wp:inline distT="0" distB="0" distL="0" distR="0">
                        <wp:extent cx="1725602" cy="1391154"/>
                        <wp:effectExtent l="19050" t="0" r="7948"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725797" cy="1391312"/>
                                </a:xfrm>
                                <a:prstGeom prst="rect">
                                  <a:avLst/>
                                </a:prstGeom>
                              </pic:spPr>
                            </pic:pic>
                          </a:graphicData>
                        </a:graphic>
                      </wp:inline>
                    </w:drawing>
                  </w:r>
                </w:p>
                <w:p w:rsidR="00CD0FC2" w:rsidRPr="00B61338" w:rsidRDefault="00CD0FC2" w:rsidP="00CD0FC2">
                  <w:pPr>
                    <w:pStyle w:val="Caption"/>
                    <w:spacing w:after="0"/>
                    <w:ind w:left="86"/>
                    <w:jc w:val="center"/>
                    <w:rPr>
                      <w:color w:val="auto"/>
                    </w:rPr>
                  </w:pPr>
                  <w:r w:rsidRPr="00B61338">
                    <w:rPr>
                      <w:color w:val="auto"/>
                    </w:rPr>
                    <w:t xml:space="preserve">Figure </w:t>
                  </w:r>
                  <w:r w:rsidR="00EB2A2E" w:rsidRPr="00B61338">
                    <w:rPr>
                      <w:color w:val="auto"/>
                    </w:rPr>
                    <w:fldChar w:fldCharType="begin"/>
                  </w:r>
                  <w:r w:rsidRPr="00B61338">
                    <w:rPr>
                      <w:color w:val="auto"/>
                    </w:rPr>
                    <w:instrText xml:space="preserve"> SEQ Figure \* ARABIC </w:instrText>
                  </w:r>
                  <w:r w:rsidR="00EB2A2E" w:rsidRPr="00B61338">
                    <w:rPr>
                      <w:color w:val="auto"/>
                    </w:rPr>
                    <w:fldChar w:fldCharType="separate"/>
                  </w:r>
                  <w:r w:rsidR="00E803AC">
                    <w:rPr>
                      <w:noProof/>
                      <w:color w:val="auto"/>
                    </w:rPr>
                    <w:t>1</w:t>
                  </w:r>
                  <w:r w:rsidR="00EB2A2E"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D0FC2" w:rsidRDefault="00CD0FC2" w:rsidP="00CD0FC2">
                  <w:pPr>
                    <w:pStyle w:val="Caption"/>
                    <w:jc w:val="center"/>
                  </w:pPr>
                </w:p>
                <w:p w:rsidR="00CD0FC2" w:rsidRDefault="00CD0FC2" w:rsidP="00CD0FC2">
                  <w:pPr>
                    <w:pStyle w:val="Caption"/>
                    <w:jc w:val="center"/>
                  </w:pPr>
                  <w:r>
                    <w:rPr>
                      <w:color w:val="auto"/>
                    </w:rPr>
                    <w:t xml:space="preserve">  </w:t>
                  </w:r>
                </w:p>
                <w:p w:rsidR="00CD0FC2" w:rsidRDefault="00CD0FC2" w:rsidP="00CD0FC2"/>
              </w:txbxContent>
            </v:textbox>
            <w10:wrap type="none"/>
            <w10:anchorlock/>
          </v:shape>
        </w:pict>
      </w:r>
      <w:r>
        <w:t xml:space="preserve"> </w:t>
      </w:r>
      <w:r w:rsidR="00EB2A2E">
        <w:pict>
          <v:shape id="_x0000_s1036" type="#_x0000_t202" style="width:166.35pt;height:156.5pt;mso-position-horizontal-relative:char;mso-position-vertical-relative:line;mso-width-relative:margin;mso-height-relative:margin" stroked="f">
            <v:textbox style="mso-next-textbox:#_x0000_s1036">
              <w:txbxContent>
                <w:p w:rsidR="00CD0FC2" w:rsidRDefault="00CD0FC2" w:rsidP="00CD0FC2">
                  <w:pPr>
                    <w:pStyle w:val="Caption"/>
                    <w:keepNext/>
                    <w:jc w:val="center"/>
                  </w:pPr>
                  <w:r w:rsidRPr="00D30BA0">
                    <w:rPr>
                      <w:noProof/>
                    </w:rPr>
                    <w:drawing>
                      <wp:inline distT="0" distB="0" distL="0" distR="0">
                        <wp:extent cx="1548041" cy="1348877"/>
                        <wp:effectExtent l="57150" t="57150" r="52159" b="60823"/>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548041" cy="1348877"/>
                                </a:xfrm>
                                <a:prstGeom prst="rect">
                                  <a:avLst/>
                                </a:prstGeom>
                                <a:ln w="50800">
                                  <a:solidFill>
                                    <a:schemeClr val="bg2">
                                      <a:lumMod val="50000"/>
                                    </a:schemeClr>
                                  </a:solidFill>
                                </a:ln>
                              </pic:spPr>
                            </pic:pic>
                          </a:graphicData>
                        </a:graphic>
                      </wp:inline>
                    </w:drawing>
                  </w:r>
                </w:p>
                <w:p w:rsidR="00CD0FC2" w:rsidRPr="00B61338" w:rsidRDefault="00CD0FC2" w:rsidP="00CD0FC2">
                  <w:pPr>
                    <w:pStyle w:val="Caption"/>
                    <w:jc w:val="center"/>
                    <w:rPr>
                      <w:color w:val="auto"/>
                    </w:rPr>
                  </w:pPr>
                  <w:r w:rsidRPr="00B61338">
                    <w:rPr>
                      <w:color w:val="auto"/>
                    </w:rPr>
                    <w:t xml:space="preserve">Figure </w:t>
                  </w:r>
                  <w:r w:rsidR="00EB2A2E" w:rsidRPr="00B61338">
                    <w:rPr>
                      <w:color w:val="auto"/>
                    </w:rPr>
                    <w:fldChar w:fldCharType="begin"/>
                  </w:r>
                  <w:r w:rsidRPr="00B61338">
                    <w:rPr>
                      <w:color w:val="auto"/>
                    </w:rPr>
                    <w:instrText xml:space="preserve"> SEQ Figure \* ARABIC </w:instrText>
                  </w:r>
                  <w:r w:rsidR="00EB2A2E" w:rsidRPr="00B61338">
                    <w:rPr>
                      <w:color w:val="auto"/>
                    </w:rPr>
                    <w:fldChar w:fldCharType="separate"/>
                  </w:r>
                  <w:r w:rsidR="00E803AC">
                    <w:rPr>
                      <w:noProof/>
                      <w:color w:val="auto"/>
                    </w:rPr>
                    <w:t>2</w:t>
                  </w:r>
                  <w:r w:rsidR="00EB2A2E"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MentorPAL video clip </w:t>
                  </w:r>
                  <w:r>
                    <w:rPr>
                      <w:color w:val="auto"/>
                    </w:rPr>
                    <w:br/>
                  </w:r>
                  <w:r w:rsidR="00400A41">
                    <w:rPr>
                      <w:color w:val="auto"/>
                    </w:rPr>
                    <w:t xml:space="preserve">presented </w:t>
                  </w:r>
                  <w:r>
                    <w:rPr>
                      <w:color w:val="auto"/>
                    </w:rPr>
                    <w:t xml:space="preserve">on </w:t>
                  </w:r>
                  <w:r w:rsidR="00400A41">
                    <w:rPr>
                      <w:color w:val="auto"/>
                    </w:rPr>
                    <w:t xml:space="preserve">a </w:t>
                  </w:r>
                  <w:r>
                    <w:rPr>
                      <w:color w:val="auto"/>
                    </w:rPr>
                    <w:t xml:space="preserve">2-D monitor </w:t>
                  </w:r>
                </w:p>
                <w:p w:rsidR="00CD0FC2" w:rsidRDefault="00CD0FC2" w:rsidP="00CD0FC2"/>
              </w:txbxContent>
            </v:textbox>
            <w10:wrap type="none"/>
            <w10:anchorlock/>
          </v:shape>
        </w:pict>
      </w:r>
      <w:r>
        <w:t xml:space="preserve"> </w:t>
      </w:r>
      <w:r w:rsidR="00EB2A2E">
        <w:pict>
          <v:shape id="_x0000_s1035" type="#_x0000_t202" style="width:160.35pt;height:155.85pt;mso-position-horizontal-relative:char;mso-position-vertical-relative:line;mso-width-relative:margin;mso-height-relative:margin" stroked="f">
            <v:textbox style="mso-next-textbox:#_x0000_s1035">
              <w:txbxContent>
                <w:p w:rsidR="00CD0FC2" w:rsidRDefault="00CD0FC2" w:rsidP="00CD0FC2">
                  <w:pPr>
                    <w:keepNext/>
                    <w:tabs>
                      <w:tab w:val="left" w:pos="1386"/>
                    </w:tabs>
                    <w:jc w:val="center"/>
                  </w:pPr>
                  <w:r w:rsidRPr="00465689">
                    <w:rPr>
                      <w:noProof/>
                    </w:rPr>
                    <w:drawing>
                      <wp:inline distT="0" distB="0" distL="0" distR="0">
                        <wp:extent cx="1887681" cy="1462955"/>
                        <wp:effectExtent l="19050" t="0" r="0"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891206" cy="1465687"/>
                                </a:xfrm>
                                <a:prstGeom prst="rect">
                                  <a:avLst/>
                                </a:prstGeom>
                              </pic:spPr>
                            </pic:pic>
                          </a:graphicData>
                        </a:graphic>
                      </wp:inline>
                    </w:drawing>
                  </w:r>
                </w:p>
                <w:p w:rsidR="00CD0FC2" w:rsidRDefault="00CD0FC2" w:rsidP="00CD0FC2">
                  <w:pPr>
                    <w:pStyle w:val="Caption"/>
                    <w:spacing w:before="180" w:after="0"/>
                    <w:ind w:left="86"/>
                    <w:jc w:val="center"/>
                  </w:pPr>
                  <w:r w:rsidRPr="00B61338">
                    <w:rPr>
                      <w:color w:val="auto"/>
                    </w:rPr>
                    <w:t xml:space="preserve">Figure </w:t>
                  </w:r>
                  <w:r w:rsidR="00EB2A2E" w:rsidRPr="00B61338">
                    <w:rPr>
                      <w:color w:val="auto"/>
                    </w:rPr>
                    <w:fldChar w:fldCharType="begin"/>
                  </w:r>
                  <w:r w:rsidRPr="00B61338">
                    <w:rPr>
                      <w:color w:val="auto"/>
                    </w:rPr>
                    <w:instrText xml:space="preserve"> SEQ Figure \* ARABIC </w:instrText>
                  </w:r>
                  <w:r w:rsidR="00EB2A2E" w:rsidRPr="00B61338">
                    <w:rPr>
                      <w:color w:val="auto"/>
                    </w:rPr>
                    <w:fldChar w:fldCharType="separate"/>
                  </w:r>
                  <w:r w:rsidR="00E803AC">
                    <w:rPr>
                      <w:noProof/>
                      <w:color w:val="auto"/>
                    </w:rPr>
                    <w:t>3</w:t>
                  </w:r>
                  <w:r w:rsidR="00EB2A2E"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r w:rsidR="00BE0D1E">
        <w:t xml:space="preserve">Chowdhury, </w:t>
      </w:r>
      <w:r w:rsidR="002B226E" w:rsidRPr="00852988">
        <w:t>2003</w:t>
      </w:r>
      <w:r w:rsidR="002B226E">
        <w:t>)</w:t>
      </w:r>
      <w:r>
        <w:t>. Using this definition within the context of virtual environments, NLP tools allow computer technology to recognize voice input, analyze voice tone, provide lifelike conversation, retrieve info</w:t>
      </w:r>
      <w:r>
        <w:t>r</w:t>
      </w:r>
      <w:r>
        <w:t xml:space="preserve">mation, and many other applications in combination with machine learning. 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r w:rsidR="00BE0D1E">
        <w:t>Collobert</w:t>
      </w:r>
      <w:r w:rsidR="005228F5">
        <w:t xml:space="preserve"> &amp; Weston, </w:t>
      </w:r>
      <w:r w:rsidR="002B226E" w:rsidRPr="00852988">
        <w:t>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AB3A67" w:rsidRPr="00AB3A67">
        <w:rPr>
          <w:i/>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r w:rsidR="002B226E" w:rsidRPr="00852988">
        <w:t>Kudryavtsev</w:t>
      </w:r>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xml:space="preserve">.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r w:rsidR="002B226E">
        <w:t>(</w:t>
      </w:r>
      <w:r w:rsidR="002B226E" w:rsidRPr="00852988">
        <w:t>Satori</w:t>
      </w:r>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 xml:space="preserve">tions and build-your-own languages can be more accurate, they take time to implement and often require increased local processing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Modern learning calls for new methods of information transfer. Online tools like Khan Academy, YouTube, Coursera, Lynda, and other massive open online courses (MOOCs) are gro</w:t>
      </w:r>
      <w:r>
        <w:t>w</w:t>
      </w:r>
      <w:r>
        <w:t xml:space="preserve">ing in popularity, and the trend does not seem to be slowing down. Many of these tools suffer from the lack of the immediacy and motivational qualities of personal interaction with a human. </w:t>
      </w:r>
    </w:p>
    <w:p w:rsidR="00CD0FC2" w:rsidRDefault="00CD0FC2" w:rsidP="00CD0FC2">
      <w:pPr>
        <w:jc w:val="both"/>
      </w:pPr>
    </w:p>
    <w:p w:rsidR="00BF0701" w:rsidRDefault="00BF0701" w:rsidP="00BF0701">
      <w:pPr>
        <w:keepNext/>
        <w:jc w:val="both"/>
      </w:pPr>
      <w:r>
        <w:rPr>
          <w:noProof/>
        </w:rPr>
        <w:drawing>
          <wp:anchor distT="0" distB="0" distL="114300" distR="114300" simplePos="0" relativeHeight="251658240" behindDoc="0" locked="0" layoutInCell="1" allowOverlap="1">
            <wp:simplePos x="0" y="0"/>
            <wp:positionH relativeFrom="column">
              <wp:posOffset>2783840</wp:posOffset>
            </wp:positionH>
            <wp:positionV relativeFrom="paragraph">
              <wp:posOffset>365760</wp:posOffset>
            </wp:positionV>
            <wp:extent cx="3145155" cy="1767840"/>
            <wp:effectExtent l="19050" t="0" r="0" b="0"/>
            <wp:wrapSquare wrapText="bothSides"/>
            <wp:docPr id="14"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3145155" cy="1767840"/>
                    </a:xfrm>
                    <a:prstGeom prst="rect">
                      <a:avLst/>
                    </a:prstGeom>
                  </pic:spPr>
                </pic:pic>
              </a:graphicData>
            </a:graphic>
          </wp:anchor>
        </w:drawing>
      </w:r>
      <w:r w:rsidR="00CD0FC2">
        <w:t xml:space="preserve">Storytelling and gaming are also important facets of the virtual field. The New Dimensions in Testimony project “allows </w:t>
      </w:r>
      <w:proofErr w:type="gramStart"/>
      <w:r w:rsidR="00CD0FC2">
        <w:t>people</w:t>
      </w:r>
      <w:proofErr w:type="gramEnd"/>
      <w:r w:rsidR="00CD0FC2">
        <w:t xml:space="preserve"> to have an interactive conversation with a human storyteller (a Holocaust survivor) who has recorded a number of dialogue contributions (Figure 4), </w:t>
      </w:r>
    </w:p>
    <w:p w:rsidR="00CD0FC2" w:rsidRDefault="00EB2A2E" w:rsidP="00CD0FC2">
      <w:pPr>
        <w:jc w:val="both"/>
      </w:pPr>
      <w:r>
        <w:rPr>
          <w:noProof/>
        </w:rPr>
        <w:pict>
          <v:shape id="_x0000_s1029" type="#_x0000_t202" style="position:absolute;left:0;text-align:left;margin-left:219.2pt;margin-top:136.8pt;width:247.65pt;height:20.85pt;z-index:251660288" stroked="f">
            <v:textbox inset="0,0,0,0">
              <w:txbxContent>
                <w:p w:rsidR="00BF0701" w:rsidRPr="003B25BC" w:rsidRDefault="00BF0701" w:rsidP="00BF0701">
                  <w:pPr>
                    <w:pStyle w:val="Caption"/>
                    <w:jc w:val="center"/>
                    <w:rPr>
                      <w:noProof/>
                      <w:sz w:val="20"/>
                      <w:szCs w:val="20"/>
                    </w:rPr>
                  </w:pPr>
                  <w:r w:rsidRPr="00BF0701">
                    <w:rPr>
                      <w:color w:val="auto"/>
                    </w:rPr>
                    <w:t xml:space="preserve">Figure </w:t>
                  </w:r>
                  <w:r w:rsidR="00EB2A2E" w:rsidRPr="00BF0701">
                    <w:rPr>
                      <w:color w:val="auto"/>
                    </w:rPr>
                    <w:fldChar w:fldCharType="begin"/>
                  </w:r>
                  <w:r w:rsidRPr="00BF0701">
                    <w:rPr>
                      <w:color w:val="auto"/>
                    </w:rPr>
                    <w:instrText xml:space="preserve"> SEQ Figure \* ARABIC </w:instrText>
                  </w:r>
                  <w:r w:rsidR="00EB2A2E" w:rsidRPr="00BF0701">
                    <w:rPr>
                      <w:color w:val="auto"/>
                    </w:rPr>
                    <w:fldChar w:fldCharType="separate"/>
                  </w:r>
                  <w:r w:rsidR="00E803AC">
                    <w:rPr>
                      <w:noProof/>
                      <w:color w:val="auto"/>
                    </w:rPr>
                    <w:t>4</w:t>
                  </w:r>
                  <w:r w:rsidR="00EB2A2E" w:rsidRPr="00BF0701">
                    <w:rPr>
                      <w:color w:val="auto"/>
                    </w:rPr>
                    <w:fldChar w:fldCharType="end"/>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txbxContent>
            </v:textbox>
            <w10:wrap type="square"/>
          </v:shape>
        </w:pict>
      </w:r>
      <w:proofErr w:type="gramStart"/>
      <w:r w:rsidR="00CD0FC2">
        <w:t>including</w:t>
      </w:r>
      <w:proofErr w:type="gramEnd"/>
      <w:r w:rsidR="00CD0FC2">
        <w:t xml:space="preserve"> many compelling narratives of his exp</w:t>
      </w:r>
      <w:r w:rsidR="00CD0FC2">
        <w:t>e</w:t>
      </w:r>
      <w:r w:rsidR="00CD0FC2">
        <w:t xml:space="preserv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w:t>
      </w:r>
      <w:r w:rsidR="00CD0FC2">
        <w:t>o</w:t>
      </w:r>
      <w:r w:rsidR="00CD0FC2">
        <w:t>ries of Holocaust survivors can be applied to other important persons and historical sagas of value and interest. Advances in gaming allow for utilization in learning, entertainment, healthcare, and lifelike training for areas like combat, base security, rea</w:t>
      </w:r>
      <w:r w:rsidR="00CD0FC2">
        <w:t>c</w:t>
      </w:r>
      <w:r w:rsidR="00CD0FC2">
        <w:t>tion team strategy, medical emergency responses, interfaces with civilian populations, and critical thinking. The SimCoach system was developed to assist Post Traumatic Stress Disorder (PTSD) su</w:t>
      </w:r>
      <w:r w:rsidR="00CD0FC2">
        <w:t>b</w:t>
      </w:r>
      <w:r w:rsidR="00CD0FC2">
        <w:t xml:space="preserve">jects and to “motivate users to take the first step – to empower themselves to seek advice and information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w:t>
      </w:r>
      <w:r w:rsidR="00CD0FC2">
        <w:t>n</w:t>
      </w:r>
      <w:r w:rsidR="00CD0FC2">
        <w:t xml:space="preserve">erating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w:t>
      </w:r>
      <w:r w:rsidR="00CD0FC2">
        <w:t>c</w:t>
      </w:r>
      <w:r w:rsidR="00CD0FC2">
        <w:t>cesses of these operations thus far encourage research into potential future applications.</w:t>
      </w:r>
    </w:p>
    <w:p w:rsidR="00CD0FC2" w:rsidRDefault="00CD0FC2" w:rsidP="00CD0FC2">
      <w:pPr>
        <w:jc w:val="both"/>
      </w:pPr>
    </w:p>
    <w:p w:rsidR="000D660B" w:rsidRDefault="00CD0FC2" w:rsidP="00CD0FC2">
      <w:pPr>
        <w:jc w:val="both"/>
      </w:pPr>
      <w:r>
        <w:t>The benefits of virtual environments include making the most skilled instructors and resources available and scal</w:t>
      </w:r>
      <w:r>
        <w:t>a</w:t>
      </w:r>
      <w:r>
        <w:t>ble, engaging new learning environments, confidentiality, and global accessibility. Some of the negatives of virtual learning are the difficulties of personalizing learning to fit individual students, handling live question, responding to different learning styles, and similar limits to NLP and other processor and data heavy systems. On the positive side, this approach does allow for using only the best instructors and can avoid the classroom stricture against teaching to the lowest common denominator, having to respond to questions in a generic way. It can be trained to detect and cater to every student’s learning style, and other constraints faced by live teachers. Future fields of focus will i</w:t>
      </w:r>
      <w:r>
        <w:t>n</w:t>
      </w:r>
      <w:r>
        <w:t>clude streamlining the creation of such virtual environments and interaction. For example, it is possible to conceive a system which takes in a live recorded interview with a U.S. President, or other prominent or knowledgeable figure, and generates an interactive environment in which a user can experience the interview by asking the questions the</w:t>
      </w:r>
      <w:r>
        <w:t>m</w:t>
      </w:r>
      <w:r>
        <w:t xml:space="preserve">selves. Or a true virtual assistant that obviates the need for an assistant might provide a radical shift in the way the </w:t>
      </w:r>
      <w:proofErr w:type="gramStart"/>
      <w:r>
        <w:t>DoD</w:t>
      </w:r>
      <w:proofErr w:type="gramEnd"/>
      <w:r>
        <w:t xml:space="preserve"> functions. Such tools are already in existence, and they will only become more prevalent and powerful. Ho</w:t>
      </w:r>
      <w:r>
        <w:t>w</w:t>
      </w:r>
      <w:r>
        <w:t>ever, the need for extensive processing power, efficiency, and data storage and transfer remains a limiting factor for many such developments. The aforementioned applications call for considerable further exploration and research. They may well be amenable to a quantum annealing approach to deep learning enhancement.</w:t>
      </w:r>
      <w:r w:rsidR="00001B2B">
        <w:t xml:space="preserve"> </w:t>
      </w:r>
    </w:p>
    <w:p w:rsidR="000D660B" w:rsidRDefault="000D660B" w:rsidP="000905FD">
      <w:pPr>
        <w:jc w:val="both"/>
      </w:pPr>
    </w:p>
    <w:p w:rsidR="00CD0FC2" w:rsidRPr="00851034" w:rsidRDefault="00CD0FC2" w:rsidP="00CD0FC2">
      <w:pPr>
        <w:pStyle w:val="Heading1"/>
      </w:pPr>
      <w:r>
        <w:t xml:space="preserve">Mentor PAL  </w:t>
      </w:r>
    </w:p>
    <w:p w:rsidR="000905FD" w:rsidRDefault="000905FD" w:rsidP="000905FD">
      <w:pPr>
        <w:jc w:val="both"/>
      </w:pPr>
    </w:p>
    <w:p w:rsidR="00F538B2" w:rsidRDefault="00F538B2" w:rsidP="000905FD">
      <w:pPr>
        <w:jc w:val="both"/>
      </w:pPr>
      <w:r>
        <w:t xml:space="preserve">One of the needs identified by the </w:t>
      </w:r>
      <w:proofErr w:type="gramStart"/>
      <w:r>
        <w:t>DoD</w:t>
      </w:r>
      <w:proofErr w:type="gramEnd"/>
      <w:r>
        <w:t xml:space="preserve"> is the increasing need for technical personnel, both in uniform and in a wide range of civilian capacities.  To meet that need, potential candidates putatively would be well served to have access to thoughtful and experienced technical personnel who can clearly communicate the careers that may be offered to them</w:t>
      </w:r>
      <w:r w:rsidR="00365828">
        <w:t xml:space="preserve"> (Nye, 2017)</w:t>
      </w:r>
      <w:r>
        <w:t>. There are several fac</w:t>
      </w:r>
      <w:r w:rsidR="00EB1C23">
        <w:t xml:space="preserve">tors that </w:t>
      </w:r>
      <w:r w:rsidR="006C6517">
        <w:t>militate</w:t>
      </w:r>
      <w:r w:rsidR="00EB1C23">
        <w:t xml:space="preserve"> against that availability of effective mentoring.  Some of the</w:t>
      </w:r>
      <w:r w:rsidR="006C6517">
        <w:t>se</w:t>
      </w:r>
      <w:r w:rsidR="00EB1C23">
        <w:t xml:space="preserve"> factors </w:t>
      </w:r>
      <w:r w:rsidR="006C6517">
        <w:t>were</w:t>
      </w:r>
      <w:r w:rsidR="00EB1C23">
        <w:t xml:space="preserve"> mentioned by education leaders who have given input into the Mentor PAL project</w:t>
      </w:r>
      <w:r w:rsidR="006C6517">
        <w:t xml:space="preserve">. </w:t>
      </w:r>
      <w:r w:rsidR="00EB1C23">
        <w:t xml:space="preserve"> </w:t>
      </w:r>
      <w:r w:rsidR="006C6517">
        <w:t>While ane</w:t>
      </w:r>
      <w:r w:rsidR="006C6517">
        <w:t>c</w:t>
      </w:r>
      <w:r w:rsidR="006C6517">
        <w:t>dotal, they are mentioned here.  Many of the counselors noted that a large portion of the population lives in widely dispersed small school districts around the country, many students live in lower Socio-Economic Status (SES) di</w:t>
      </w:r>
      <w:r w:rsidR="006C6517">
        <w:t>s</w:t>
      </w:r>
      <w:r w:rsidR="006C6517">
        <w:lastRenderedPageBreak/>
        <w:t>tricts in which few technical professionals live, many students are not amenable to face-to-face mentoring by profe</w:t>
      </w:r>
      <w:r w:rsidR="006C6517">
        <w:t>s</w:t>
      </w:r>
      <w:r w:rsidR="006C6517">
        <w:t>sionals they find intimidating, and many who are available for mentoring have agendas of their own or are hampered by poor mentoring s</w:t>
      </w:r>
      <w:r w:rsidR="000F41F5">
        <w:t>kills</w:t>
      </w:r>
      <w:r w:rsidR="006C6517">
        <w:t xml:space="preserve">. </w:t>
      </w:r>
    </w:p>
    <w:p w:rsidR="000F41F5" w:rsidRDefault="000F41F5" w:rsidP="000905FD">
      <w:pPr>
        <w:jc w:val="both"/>
      </w:pPr>
    </w:p>
    <w:p w:rsidR="00285E14" w:rsidRDefault="00EB2A2E" w:rsidP="000905FD">
      <w:pPr>
        <w:jc w:val="both"/>
      </w:pPr>
      <w:r>
        <w:rPr>
          <w:noProof/>
        </w:rPr>
        <w:pict>
          <v:shape id="_x0000_s1034" type="#_x0000_t202" style="position:absolute;left:0;text-align:left;margin-left:231.9pt;margin-top:163.8pt;width:235.85pt;height:30.7pt;z-index:251663360" stroked="f">
            <v:textbox style="mso-fit-shape-to-text:t" inset="0,0,0,0">
              <w:txbxContent>
                <w:p w:rsidR="00FC0E73" w:rsidRPr="00FC0E73" w:rsidRDefault="00FC0E73" w:rsidP="00FC0E73">
                  <w:pPr>
                    <w:pStyle w:val="Caption"/>
                    <w:jc w:val="center"/>
                    <w:rPr>
                      <w:noProof/>
                      <w:color w:val="auto"/>
                      <w:sz w:val="20"/>
                      <w:szCs w:val="20"/>
                    </w:rPr>
                  </w:pPr>
                  <w:r w:rsidRPr="00FC0E73">
                    <w:rPr>
                      <w:color w:val="auto"/>
                    </w:rPr>
                    <w:t xml:space="preserve">Figure </w:t>
                  </w:r>
                  <w:r w:rsidR="00EB2A2E" w:rsidRPr="00FC0E73">
                    <w:rPr>
                      <w:color w:val="auto"/>
                    </w:rPr>
                    <w:fldChar w:fldCharType="begin"/>
                  </w:r>
                  <w:r w:rsidRPr="00FC0E73">
                    <w:rPr>
                      <w:color w:val="auto"/>
                    </w:rPr>
                    <w:instrText xml:space="preserve"> SEQ Figure \* ARABIC </w:instrText>
                  </w:r>
                  <w:r w:rsidR="00EB2A2E" w:rsidRPr="00FC0E73">
                    <w:rPr>
                      <w:color w:val="auto"/>
                    </w:rPr>
                    <w:fldChar w:fldCharType="separate"/>
                  </w:r>
                  <w:r w:rsidR="00E803AC">
                    <w:rPr>
                      <w:noProof/>
                      <w:color w:val="auto"/>
                    </w:rPr>
                    <w:t>5</w:t>
                  </w:r>
                  <w:r w:rsidR="00EB2A2E" w:rsidRPr="00FC0E73">
                    <w:rPr>
                      <w:color w:val="auto"/>
                    </w:rPr>
                    <w:fldChar w:fldCharType="end"/>
                  </w:r>
                  <w:r w:rsidRPr="00FC0E73">
                    <w:rPr>
                      <w:color w:val="auto"/>
                    </w:rPr>
                    <w:t xml:space="preserve"> – Two Senior High School Students Evaluate </w:t>
                  </w:r>
                  <w:r>
                    <w:rPr>
                      <w:color w:val="auto"/>
                    </w:rPr>
                    <w:br/>
                  </w:r>
                  <w:r w:rsidRPr="00FC0E73">
                    <w:rPr>
                      <w:color w:val="auto"/>
                    </w:rPr>
                    <w:t>Mentor PAL Advice from a Navy Chief Petty Officer</w:t>
                  </w:r>
                </w:p>
              </w:txbxContent>
            </v:textbox>
            <w10:wrap type="square"/>
          </v:shape>
        </w:pict>
      </w:r>
      <w:r w:rsidR="00DA1EAA">
        <w:rPr>
          <w:noProof/>
        </w:rPr>
        <w:drawing>
          <wp:anchor distT="0" distB="0" distL="114300" distR="114300" simplePos="0" relativeHeight="251661312" behindDoc="0" locked="0" layoutInCell="1" allowOverlap="1">
            <wp:simplePos x="0" y="0"/>
            <wp:positionH relativeFrom="column">
              <wp:posOffset>2945130</wp:posOffset>
            </wp:positionH>
            <wp:positionV relativeFrom="paragraph">
              <wp:posOffset>69215</wp:posOffset>
            </wp:positionV>
            <wp:extent cx="2995295" cy="1989455"/>
            <wp:effectExtent l="19050" t="0" r="0" b="0"/>
            <wp:wrapSquare wrapText="bothSides"/>
            <wp:docPr id="2" name="Picture 1" descr="StudentsReviewingMent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16"/>
                    <a:stretch>
                      <a:fillRect/>
                    </a:stretch>
                  </pic:blipFill>
                  <pic:spPr>
                    <a:xfrm>
                      <a:off x="0" y="0"/>
                      <a:ext cx="2995295" cy="1989455"/>
                    </a:xfrm>
                    <a:prstGeom prst="rect">
                      <a:avLst/>
                    </a:prstGeom>
                  </pic:spPr>
                </pic:pic>
              </a:graphicData>
            </a:graphic>
          </wp:anchor>
        </w:drawing>
      </w:r>
      <w:r w:rsidR="000F41F5">
        <w:t>ICT proposed to the Office of Naval Research that most of these problems could be ameliorated by using their co</w:t>
      </w:r>
      <w:r w:rsidR="000F41F5">
        <w:t>n</w:t>
      </w:r>
      <w:r w:rsidR="000F41F5">
        <w:t xml:space="preserve">versational VH technology and providing </w:t>
      </w:r>
      <w:r w:rsidR="00285E14">
        <w:t>compelling, engaging and validating mentoring which could be delivered by locally hosted programs or web-delivered client/server service.   It was proposed as being able to provide conve</w:t>
      </w:r>
      <w:r w:rsidR="00285E14">
        <w:t>r</w:t>
      </w:r>
      <w:r w:rsidR="00285E14">
        <w:t>sation-like mentoring to any student in any locality, in a non-threatening way, and by mentors who have been vetted as being “on-message” and personally engaging and insightful.  The program has been funded and initial mentor videota</w:t>
      </w:r>
      <w:r w:rsidR="00285E14">
        <w:t>p</w:t>
      </w:r>
      <w:r w:rsidR="00285E14">
        <w:t>ing and interface design has produced a working prot</w:t>
      </w:r>
      <w:r w:rsidR="00285E14">
        <w:t>o</w:t>
      </w:r>
      <w:r w:rsidR="00285E14">
        <w:t xml:space="preserve">type.  </w:t>
      </w:r>
      <w:r w:rsidR="00FC0E73">
        <w:t>Various versions of t</w:t>
      </w:r>
      <w:r w:rsidR="00285E14">
        <w:t>his prototype</w:t>
      </w:r>
      <w:r w:rsidR="00FC0E73">
        <w:t>, running on a Microsoft Surface tablet computer, have</w:t>
      </w:r>
      <w:r w:rsidR="00285E14">
        <w:t xml:space="preserve"> been assessed by a small number of pre-college students.  </w:t>
      </w:r>
      <w:r w:rsidR="00DA1EAA">
        <w:t>Input from the students affirmed both the need for the mentorships and the openness to the on-line mentor.</w:t>
      </w:r>
    </w:p>
    <w:p w:rsidR="00CD5556" w:rsidRDefault="00CD5556" w:rsidP="000905FD">
      <w:pPr>
        <w:jc w:val="both"/>
      </w:pPr>
    </w:p>
    <w:p w:rsidR="00CD5556" w:rsidRDefault="00CD5556" w:rsidP="000905FD">
      <w:pPr>
        <w:jc w:val="both"/>
      </w:pPr>
      <w:r>
        <w:t xml:space="preserve">The project was funded to produce a prototype for analysis, but the early trial tests with students, as represented above, emphasized the range of evaluative comments and the subjective nature of the </w:t>
      </w:r>
      <w:proofErr w:type="gramStart"/>
      <w:r>
        <w:t>researchers</w:t>
      </w:r>
      <w:proofErr w:type="gramEnd"/>
      <w:r>
        <w:t xml:space="preserve"> reaction to those comments.  Therefore, before the last student exposure to the program, a way of garnering, documenting, and qua</w:t>
      </w:r>
      <w:r>
        <w:t>n</w:t>
      </w:r>
      <w:r>
        <w:t>tifying the responses was sought.  With insufficient time and funding to do a formal survey at this point in the pr</w:t>
      </w:r>
      <w:r>
        <w:t>o</w:t>
      </w:r>
      <w:r>
        <w:t xml:space="preserve">ject, one of the  researchers created a quick five item Likert survey to capture and record some of the insights that the students had to offer.  Below in Tables 1 you will find an image of the four and a quarter inch by five and half inch </w:t>
      </w:r>
      <w:proofErr w:type="gramStart"/>
      <w:r>
        <w:t>form</w:t>
      </w:r>
      <w:proofErr w:type="gramEnd"/>
      <w:r>
        <w:t xml:space="preserve"> that was given all of the students who sat and interrogated the VH mentor.  Table 2 has a compilation of the answers given.  All 16 participants responded to all five questions. Ten either wrote comments or gave oral fee</w:t>
      </w:r>
      <w:r>
        <w:t>d</w:t>
      </w:r>
      <w:r>
        <w:t>back of note to the researchers.</w:t>
      </w:r>
    </w:p>
    <w:p w:rsidR="00CD5556" w:rsidRDefault="00CD5556" w:rsidP="000905FD">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D5556" w:rsidTr="00D32EBD">
        <w:tc>
          <w:tcPr>
            <w:tcW w:w="4788" w:type="dxa"/>
          </w:tcPr>
          <w:p w:rsidR="00D32EBD" w:rsidRPr="00E803AC" w:rsidRDefault="00D32EBD" w:rsidP="00D32EBD">
            <w:pPr>
              <w:pStyle w:val="Caption"/>
              <w:keepNext/>
              <w:jc w:val="center"/>
              <w:rPr>
                <w:color w:val="auto"/>
              </w:rPr>
            </w:pPr>
            <w:r w:rsidRPr="00E803AC">
              <w:rPr>
                <w:color w:val="auto"/>
              </w:rPr>
              <w:t xml:space="preserve">Table </w:t>
            </w:r>
            <w:r w:rsidR="00EB2A2E" w:rsidRPr="00E803AC">
              <w:rPr>
                <w:color w:val="auto"/>
              </w:rPr>
              <w:fldChar w:fldCharType="begin"/>
            </w:r>
            <w:r w:rsidRPr="00E803AC">
              <w:rPr>
                <w:color w:val="auto"/>
              </w:rPr>
              <w:instrText xml:space="preserve"> SEQ Table \* ARABIC </w:instrText>
            </w:r>
            <w:r w:rsidR="00EB2A2E" w:rsidRPr="00E803AC">
              <w:rPr>
                <w:color w:val="auto"/>
              </w:rPr>
              <w:fldChar w:fldCharType="separate"/>
            </w:r>
            <w:r w:rsidR="00E803AC" w:rsidRPr="00E803AC">
              <w:rPr>
                <w:noProof/>
                <w:color w:val="auto"/>
              </w:rPr>
              <w:t>1</w:t>
            </w:r>
            <w:r w:rsidR="00EB2A2E" w:rsidRPr="00E803AC">
              <w:rPr>
                <w:color w:val="auto"/>
              </w:rPr>
              <w:fldChar w:fldCharType="end"/>
            </w:r>
            <w:r w:rsidRPr="00E803AC">
              <w:rPr>
                <w:color w:val="auto"/>
              </w:rPr>
              <w:t xml:space="preserve"> – Form Given to Students</w:t>
            </w:r>
          </w:p>
          <w:p w:rsidR="00CD5556" w:rsidRDefault="00D32EBD" w:rsidP="005412E2">
            <w:pPr>
              <w:jc w:val="center"/>
            </w:pPr>
            <w:r>
              <w:rPr>
                <w:noProof/>
              </w:rPr>
              <w:drawing>
                <wp:inline distT="0" distB="0" distL="0" distR="0">
                  <wp:extent cx="2819561" cy="1989513"/>
                  <wp:effectExtent l="19050" t="0" r="0" b="0"/>
                  <wp:docPr id="6" name="Picture 5" descr="1-Form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ormOnly.jpg"/>
                          <pic:cNvPicPr/>
                        </pic:nvPicPr>
                        <pic:blipFill>
                          <a:blip r:embed="rId17"/>
                          <a:srcRect t="5333"/>
                          <a:stretch>
                            <a:fillRect/>
                          </a:stretch>
                        </pic:blipFill>
                        <pic:spPr>
                          <a:xfrm>
                            <a:off x="0" y="0"/>
                            <a:ext cx="2819802" cy="1989683"/>
                          </a:xfrm>
                          <a:prstGeom prst="rect">
                            <a:avLst/>
                          </a:prstGeom>
                        </pic:spPr>
                      </pic:pic>
                    </a:graphicData>
                  </a:graphic>
                </wp:inline>
              </w:drawing>
            </w:r>
          </w:p>
        </w:tc>
        <w:tc>
          <w:tcPr>
            <w:tcW w:w="4788" w:type="dxa"/>
          </w:tcPr>
          <w:p w:rsidR="00D32EBD" w:rsidRPr="00E803AC" w:rsidRDefault="00D32EBD" w:rsidP="00D32EBD">
            <w:pPr>
              <w:pStyle w:val="Caption"/>
              <w:keepNext/>
              <w:jc w:val="center"/>
              <w:rPr>
                <w:color w:val="auto"/>
              </w:rPr>
            </w:pPr>
            <w:r w:rsidRPr="00E803AC">
              <w:rPr>
                <w:color w:val="auto"/>
              </w:rPr>
              <w:t xml:space="preserve">Table </w:t>
            </w:r>
            <w:r w:rsidR="00EB2A2E" w:rsidRPr="00E803AC">
              <w:rPr>
                <w:color w:val="auto"/>
              </w:rPr>
              <w:fldChar w:fldCharType="begin"/>
            </w:r>
            <w:r w:rsidRPr="00E803AC">
              <w:rPr>
                <w:color w:val="auto"/>
              </w:rPr>
              <w:instrText xml:space="preserve"> SEQ Table \* ARABIC </w:instrText>
            </w:r>
            <w:r w:rsidR="00EB2A2E" w:rsidRPr="00E803AC">
              <w:rPr>
                <w:color w:val="auto"/>
              </w:rPr>
              <w:fldChar w:fldCharType="separate"/>
            </w:r>
            <w:r w:rsidR="00E803AC" w:rsidRPr="00E803AC">
              <w:rPr>
                <w:noProof/>
                <w:color w:val="auto"/>
              </w:rPr>
              <w:t>2</w:t>
            </w:r>
            <w:r w:rsidR="00EB2A2E" w:rsidRPr="00E803AC">
              <w:rPr>
                <w:color w:val="auto"/>
              </w:rPr>
              <w:fldChar w:fldCharType="end"/>
            </w:r>
            <w:r w:rsidRPr="00E803AC">
              <w:rPr>
                <w:color w:val="auto"/>
              </w:rPr>
              <w:t xml:space="preserve"> – Record of Responses</w:t>
            </w:r>
          </w:p>
          <w:p w:rsidR="00CD5556" w:rsidRDefault="00F92968" w:rsidP="00F92968">
            <w:pPr>
              <w:jc w:val="center"/>
            </w:pPr>
            <w:r>
              <w:rPr>
                <w:noProof/>
              </w:rPr>
              <w:drawing>
                <wp:inline distT="0" distB="0" distL="0" distR="0">
                  <wp:extent cx="2779568" cy="1982810"/>
                  <wp:effectExtent l="19050" t="0" r="1732" b="0"/>
                  <wp:docPr id="7"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18"/>
                          <a:srcRect t="5333"/>
                          <a:stretch>
                            <a:fillRect/>
                          </a:stretch>
                        </pic:blipFill>
                        <pic:spPr>
                          <a:xfrm>
                            <a:off x="0" y="0"/>
                            <a:ext cx="2785740" cy="1987213"/>
                          </a:xfrm>
                          <a:prstGeom prst="rect">
                            <a:avLst/>
                          </a:prstGeom>
                        </pic:spPr>
                      </pic:pic>
                    </a:graphicData>
                  </a:graphic>
                </wp:inline>
              </w:drawing>
            </w:r>
          </w:p>
        </w:tc>
      </w:tr>
    </w:tbl>
    <w:p w:rsidR="00CD5556" w:rsidRDefault="00CD5556" w:rsidP="000905FD">
      <w:pPr>
        <w:jc w:val="both"/>
      </w:pPr>
    </w:p>
    <w:p w:rsidR="00F92968" w:rsidRDefault="00F92968" w:rsidP="000905FD">
      <w:pPr>
        <w:jc w:val="both"/>
      </w:pPr>
      <w:r>
        <w:t xml:space="preserve">The authors recognize the informal nature of this data collection effort, but it did help record the impressions of the users and also acted as a documentation aide to assist the researchers in remembering the users’ impressions. Both these data and the concomitant oral comments seem to support earlier research, cited above, that reflect both the ease of use and the credibility that the users afford to the VH mentors.  Using this tool, instead of the </w:t>
      </w:r>
      <w:r w:rsidR="009B1D7D">
        <w:t>time-consuming method of individual mentoring, is seen by the researchers as holding some promise for alleviating the constraints enumerated above.  However, there is a cost: the production time of each videotaped mentor.</w:t>
      </w:r>
    </w:p>
    <w:p w:rsidR="00285E14" w:rsidRDefault="00F92968" w:rsidP="000905FD">
      <w:pPr>
        <w:jc w:val="both"/>
      </w:pPr>
      <w:r>
        <w:t xml:space="preserve"> </w:t>
      </w:r>
    </w:p>
    <w:p w:rsidR="009B1D7D" w:rsidRDefault="00DA1EAA" w:rsidP="000905FD">
      <w:pPr>
        <w:jc w:val="both"/>
      </w:pPr>
      <w:r>
        <w:lastRenderedPageBreak/>
        <w:t>The procedure for creating such a conversational VH mentor involves a number of steps, in addition to the develo</w:t>
      </w:r>
      <w:r>
        <w:t>p</w:t>
      </w:r>
      <w:r>
        <w:t xml:space="preserve">ment and tuning of the </w:t>
      </w:r>
      <w:r w:rsidR="00C852BF">
        <w:t xml:space="preserve">software code that makes the program function.  Literally volumes have been written about how to system engineer large code programs, running all the way from general, almost philosophical approaches, e.g. Professor Fred Brooks book (Brooks, 1995) to more detailed and didactic tomes </w:t>
      </w:r>
      <w:r w:rsidR="009841BB">
        <w:t xml:space="preserve">(Pressman &amp; Maxim, 2005). However, for the more prosaic support functions, no such tomes are familiar to the simulation computer scientists that would assist in organizing their activities. </w:t>
      </w:r>
      <w:r w:rsidR="009B1D7D">
        <w:t>Project personnel, basing their approach on lessons learned from pr</w:t>
      </w:r>
      <w:r w:rsidR="009B1D7D">
        <w:t>e</w:t>
      </w:r>
      <w:r w:rsidR="009B1D7D">
        <w:t xml:space="preserve">vious ICT efforts, knew they needed a process for the production of the videos.  </w:t>
      </w:r>
      <w:r w:rsidR="009841BB">
        <w:t>Therefore, with more courage than confidence, they set up a series of steps to produce the vide</w:t>
      </w:r>
      <w:r w:rsidR="009B1D7D">
        <w:t>os: familiarization with the career field to be covered, generation of questions to be posed to the mentor, selection of mentors, setting up the recording facilities, doing the recording, tearing down the facilities, editing the videos, time-stamping the resultant files, correcting voice recogn</w:t>
      </w:r>
      <w:r w:rsidR="009B1D7D">
        <w:t>i</w:t>
      </w:r>
      <w:r w:rsidR="009B1D7D">
        <w:t>tion transcriptions, and validating the results.</w:t>
      </w:r>
    </w:p>
    <w:p w:rsidR="009B1D7D" w:rsidRDefault="009B1D7D" w:rsidP="000905FD">
      <w:pPr>
        <w:jc w:val="both"/>
      </w:pPr>
    </w:p>
    <w:p w:rsidR="00285E14" w:rsidRDefault="009B1D7D" w:rsidP="000905FD">
      <w:pPr>
        <w:jc w:val="both"/>
      </w:pPr>
      <w:r>
        <w:t>These</w:t>
      </w:r>
      <w:r w:rsidR="009841BB">
        <w:t xml:space="preserve"> are represented in column one of Table 1 below</w:t>
      </w:r>
      <w:r>
        <w:t>. The rest of the columns</w:t>
      </w:r>
      <w:r w:rsidR="008413B9">
        <w:t xml:space="preserve"> show</w:t>
      </w:r>
      <w:r>
        <w:t xml:space="preserve"> time</w:t>
      </w:r>
      <w:r w:rsidR="00EF245C">
        <w:t xml:space="preserve"> estimates</w:t>
      </w:r>
      <w:r>
        <w:t>, in staff-hours,</w:t>
      </w:r>
      <w:r w:rsidR="00EF245C">
        <w:t xml:space="preserve"> by two researchers, offering different configurations of the evolutions</w:t>
      </w:r>
      <w:r w:rsidR="009841BB">
        <w:t>.</w:t>
      </w:r>
    </w:p>
    <w:p w:rsidR="009841BB" w:rsidRDefault="009841BB" w:rsidP="000905FD">
      <w:pPr>
        <w:jc w:val="both"/>
      </w:pPr>
    </w:p>
    <w:p w:rsidR="00EF245C" w:rsidRPr="00EF245C" w:rsidRDefault="00EF245C" w:rsidP="00EF245C">
      <w:pPr>
        <w:pStyle w:val="Caption"/>
        <w:keepNext/>
        <w:jc w:val="center"/>
        <w:rPr>
          <w:color w:val="auto"/>
        </w:rPr>
      </w:pPr>
      <w:proofErr w:type="gramStart"/>
      <w:r w:rsidRPr="00EF245C">
        <w:rPr>
          <w:color w:val="auto"/>
        </w:rPr>
        <w:t xml:space="preserve">Table </w:t>
      </w:r>
      <w:r w:rsidR="00EB2A2E" w:rsidRPr="00EF245C">
        <w:rPr>
          <w:color w:val="auto"/>
        </w:rPr>
        <w:fldChar w:fldCharType="begin"/>
      </w:r>
      <w:r w:rsidRPr="00EF245C">
        <w:rPr>
          <w:color w:val="auto"/>
        </w:rPr>
        <w:instrText xml:space="preserve"> SEQ Table \* ARABIC </w:instrText>
      </w:r>
      <w:r w:rsidR="00EB2A2E" w:rsidRPr="00EF245C">
        <w:rPr>
          <w:color w:val="auto"/>
        </w:rPr>
        <w:fldChar w:fldCharType="separate"/>
      </w:r>
      <w:r w:rsidR="00E803AC">
        <w:rPr>
          <w:noProof/>
          <w:color w:val="auto"/>
        </w:rPr>
        <w:t>3</w:t>
      </w:r>
      <w:r w:rsidR="00EB2A2E" w:rsidRPr="00EF245C">
        <w:rPr>
          <w:color w:val="auto"/>
        </w:rPr>
        <w:fldChar w:fldCharType="end"/>
      </w:r>
      <w:r w:rsidRPr="00EF245C">
        <w:rPr>
          <w:color w:val="auto"/>
        </w:rPr>
        <w:t xml:space="preserve"> – Task List and Estimated Times based on Producing Two Mentor Video Series.</w:t>
      </w:r>
      <w:proofErr w:type="gramEnd"/>
    </w:p>
    <w:p w:rsidR="009841BB" w:rsidRDefault="009841BB" w:rsidP="000905FD">
      <w:pPr>
        <w:jc w:val="both"/>
      </w:pPr>
      <w:r>
        <w:rPr>
          <w:noProof/>
        </w:rPr>
        <w:drawing>
          <wp:inline distT="0" distB="0" distL="0" distR="0">
            <wp:extent cx="6088554" cy="2939209"/>
            <wp:effectExtent l="19050" t="0" r="7446" b="0"/>
            <wp:docPr id="3"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19"/>
                    <a:srcRect l="5455" t="15294" r="8182" b="30588"/>
                    <a:stretch>
                      <a:fillRect/>
                    </a:stretch>
                  </pic:blipFill>
                  <pic:spPr>
                    <a:xfrm>
                      <a:off x="0" y="0"/>
                      <a:ext cx="6094862" cy="2942254"/>
                    </a:xfrm>
                    <a:prstGeom prst="rect">
                      <a:avLst/>
                    </a:prstGeom>
                  </pic:spPr>
                </pic:pic>
              </a:graphicData>
            </a:graphic>
          </wp:inline>
        </w:drawing>
      </w:r>
    </w:p>
    <w:p w:rsidR="000905FD" w:rsidRDefault="000905FD" w:rsidP="000905FD">
      <w:pPr>
        <w:jc w:val="both"/>
      </w:pPr>
    </w:p>
    <w:p w:rsidR="0045789F" w:rsidRDefault="00EF245C" w:rsidP="000905FD">
      <w:pPr>
        <w:jc w:val="both"/>
      </w:pPr>
      <w:r>
        <w:t xml:space="preserve">It was at this point that those actually doing the production began to notice and decry the significant amount of time that was being invested in very tedious and unrewarding assignments. Optimization was done </w:t>
      </w:r>
      <w:r w:rsidRPr="009B1D7D">
        <w:rPr>
          <w:i/>
        </w:rPr>
        <w:t>post hoc</w:t>
      </w:r>
      <w:r>
        <w:t xml:space="preserve"> and </w:t>
      </w:r>
      <w:r w:rsidRPr="009B1D7D">
        <w:rPr>
          <w:i/>
        </w:rPr>
        <w:t>ad hoc</w:t>
      </w:r>
      <w:r>
        <w:t xml:space="preserve">, as the researchers </w:t>
      </w:r>
      <w:r w:rsidR="009B1D7D">
        <w:t>had not thought</w:t>
      </w:r>
      <w:r>
        <w:t xml:space="preserve"> that the small number of iterations justified a lot of time being invested in the </w:t>
      </w:r>
      <w:r w:rsidR="0045789F">
        <w:t>process to enhance the production.  However, it was realized that implementation by the Navy for a plethora of pr</w:t>
      </w:r>
      <w:r w:rsidR="0045789F">
        <w:t>o</w:t>
      </w:r>
      <w:r w:rsidR="0045789F">
        <w:t>fessions would benefit from such an effort; further,</w:t>
      </w:r>
      <w:r w:rsidR="009B1D7D">
        <w:t xml:space="preserve"> the success of any</w:t>
      </w:r>
      <w:r w:rsidR="0045789F">
        <w:t xml:space="preserve"> consideration for other counseling uses would be more promising if such advocacy were to be accompanied by quantification of the price of production.  </w:t>
      </w:r>
      <w:r w:rsidR="008713D6">
        <w:t>It was at this point that the decision was made to seek out the input from</w:t>
      </w:r>
      <w:r w:rsidR="009B1D7D">
        <w:t xml:space="preserve"> the</w:t>
      </w:r>
      <w:r w:rsidR="008713D6">
        <w:t xml:space="preserve"> System Engineer</w:t>
      </w:r>
      <w:r w:rsidR="009B1D7D">
        <w:t>ing community</w:t>
      </w:r>
      <w:r w:rsidR="008713D6">
        <w:t>.</w:t>
      </w:r>
    </w:p>
    <w:p w:rsidR="00EF245C" w:rsidRDefault="0045789F" w:rsidP="000905FD">
      <w:pPr>
        <w:jc w:val="both"/>
      </w:pPr>
      <w:r>
        <w:t xml:space="preserve"> .</w:t>
      </w:r>
    </w:p>
    <w:p w:rsidR="00CD0FC2" w:rsidRDefault="00CD0FC2" w:rsidP="00CD0FC2">
      <w:pPr>
        <w:pStyle w:val="Heading1"/>
      </w:pPr>
      <w:r>
        <w:t>System Engineering</w:t>
      </w:r>
    </w:p>
    <w:p w:rsidR="00CD0FC2" w:rsidRDefault="00CD0FC2" w:rsidP="000905FD">
      <w:pPr>
        <w:jc w:val="both"/>
      </w:pPr>
    </w:p>
    <w:p w:rsidR="0016391F" w:rsidRDefault="0016391F" w:rsidP="0016391F">
      <w:pPr>
        <w:pStyle w:val="Heading2"/>
      </w:pPr>
      <w:r>
        <w:t>The Discipline of System Engineering</w:t>
      </w:r>
    </w:p>
    <w:p w:rsidR="0016391F" w:rsidRDefault="0016391F" w:rsidP="000905FD">
      <w:pPr>
        <w:jc w:val="both"/>
      </w:pPr>
    </w:p>
    <w:p w:rsidR="00682F9F" w:rsidRDefault="00DE7D28" w:rsidP="000905FD">
      <w:pPr>
        <w:jc w:val="both"/>
      </w:pPr>
      <w:r>
        <w:tab/>
        <w:t>Definition of Systems</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Definition of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Definition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Goals of a System Engineer</w:t>
      </w:r>
    </w:p>
    <w:p w:rsidR="00D20A15" w:rsidRDefault="00D20A15" w:rsidP="000905FD">
      <w:pPr>
        <w:jc w:val="both"/>
      </w:pPr>
    </w:p>
    <w:p w:rsidR="00D20A15" w:rsidRDefault="00D20A15" w:rsidP="000905FD">
      <w:pPr>
        <w:jc w:val="both"/>
      </w:pPr>
    </w:p>
    <w:p w:rsidR="00D20A15" w:rsidRDefault="00D20A15" w:rsidP="000905FD">
      <w:pPr>
        <w:jc w:val="both"/>
      </w:pPr>
    </w:p>
    <w:p w:rsidR="00B85BBA" w:rsidRDefault="00B85BBA" w:rsidP="000905FD">
      <w:pPr>
        <w:jc w:val="both"/>
      </w:pPr>
      <w:r>
        <w:tab/>
        <w:t>Relationship of System Engineering to Operations Research</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Misuse of the Term System Engineer</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History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Future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Paucity of System Engineering in Research Project</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Extensibility of System Engineering Concepts into Research</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Accessibility of System Engineering tools by non-System Engineers</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A Short List of System Engineering Tools:</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DE7D28" w:rsidRDefault="00DE7D28" w:rsidP="007A25B4">
      <w:pPr>
        <w:ind w:left="900"/>
        <w:jc w:val="both"/>
      </w:pPr>
      <w:r>
        <w:t>The “V-Model” – grasping the life cycle</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Stakeholder Diagram – grouping interested parties into mutually focusing groups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Pugh Matrix – plotting design criteria satisfaction against different design options</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795E7A" w:rsidRDefault="00795E7A" w:rsidP="007A25B4">
      <w:pPr>
        <w:ind w:left="900"/>
        <w:jc w:val="both"/>
      </w:pPr>
      <w:r>
        <w:t>Context Diagram</w:t>
      </w:r>
      <w:r w:rsidR="007A25B4">
        <w:t xml:space="preserve"> – graphing the mutual impacts of external entities and the system</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The Analytic Hierarchy Process – quantifying the decision-making process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Articulating Requirements – translating customer desires into technical system requirements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System Requirements Model – putting requirements into a framework</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Requirement Relationship Analysis – structuring the relationship of the requirements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Design Structure Matrix – identifying subsystem connections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N</w:t>
      </w:r>
      <w:r w:rsidRPr="00795E7A">
        <w:rPr>
          <w:vertAlign w:val="superscript"/>
        </w:rPr>
        <w:t>2</w:t>
      </w:r>
      <w:r>
        <w:t xml:space="preserve"> Analysis – understanding system interconnection problems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Functional Modeling – establishing functionality and needed interconnections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Implementation Means Analysis – enumerating implementation alternatives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System Requirements Analysis – defining system requirements in a rigorous way</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795E7A" w:rsidRDefault="006330D6" w:rsidP="007A25B4">
      <w:pPr>
        <w:ind w:left="900"/>
        <w:jc w:val="both"/>
      </w:pPr>
      <w:r>
        <w:t>Requirement</w:t>
      </w:r>
      <w:r w:rsidR="00795E7A">
        <w:t xml:space="preserve"> Means Analysis</w:t>
      </w:r>
      <w:r w:rsidR="007A25B4">
        <w:t xml:space="preserve"> – studies the relationship of </w:t>
      </w:r>
      <w:r>
        <w:t>requirement</w:t>
      </w:r>
      <w:r w:rsidR="007A25B4">
        <w:t xml:space="preserve">s to </w:t>
      </w:r>
      <w:r>
        <w:t>alternative</w:t>
      </w:r>
      <w:r w:rsidR="007A25B4">
        <w:t xml:space="preserve"> solutions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Failure Mode and Effects Analysis – listing potential causes and effects</w:t>
      </w:r>
    </w:p>
    <w:p w:rsidR="00682F9F" w:rsidRDefault="00682F9F" w:rsidP="000905FD">
      <w:pPr>
        <w:jc w:val="both"/>
      </w:pPr>
    </w:p>
    <w:p w:rsidR="00682F9F" w:rsidRDefault="00682F9F" w:rsidP="000905FD">
      <w:pPr>
        <w:jc w:val="both"/>
      </w:pPr>
    </w:p>
    <w:p w:rsidR="00E807FA" w:rsidRDefault="00E807FA" w:rsidP="0016391F">
      <w:pPr>
        <w:pStyle w:val="Heading2"/>
      </w:pPr>
    </w:p>
    <w:p w:rsidR="00E807FA" w:rsidRDefault="00E807FA" w:rsidP="0016391F">
      <w:pPr>
        <w:pStyle w:val="Heading2"/>
      </w:pPr>
    </w:p>
    <w:p w:rsidR="0016391F" w:rsidRDefault="0016391F" w:rsidP="0016391F">
      <w:pPr>
        <w:pStyle w:val="Heading2"/>
      </w:pPr>
      <w:r>
        <w:t>SE Tools Applicable to Mentor PAL</w:t>
      </w:r>
    </w:p>
    <w:p w:rsidR="0016391F" w:rsidRDefault="0016391F" w:rsidP="000905FD">
      <w:pPr>
        <w:jc w:val="both"/>
      </w:pPr>
    </w:p>
    <w:p w:rsidR="0016391F" w:rsidRDefault="00B85BBA" w:rsidP="000905FD">
      <w:pPr>
        <w:jc w:val="both"/>
      </w:pPr>
      <w:r>
        <w:t xml:space="preserve">V-Model </w:t>
      </w:r>
    </w:p>
    <w:p w:rsidR="0016391F" w:rsidRDefault="0016391F"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Stakeholder Diagram</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Context Diagram</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Articulating Requirements</w:t>
      </w:r>
    </w:p>
    <w:p w:rsidR="00B85BBA" w:rsidRDefault="00B85BBA"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System Requirements Model</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Implementation Means Analysis</w:t>
      </w:r>
    </w:p>
    <w:p w:rsidR="00682F9F" w:rsidRDefault="00682F9F"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682F9F" w:rsidRDefault="00B85BBA" w:rsidP="000905FD">
      <w:pPr>
        <w:jc w:val="both"/>
      </w:pPr>
      <w:r>
        <w:t>Failure Mode and Effects Analysis</w:t>
      </w:r>
    </w:p>
    <w:p w:rsidR="00682F9F" w:rsidRDefault="00682F9F" w:rsidP="000905FD">
      <w:pPr>
        <w:jc w:val="both"/>
      </w:pP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16391F" w:rsidRDefault="0016391F" w:rsidP="0016391F">
      <w:pPr>
        <w:pStyle w:val="Heading2"/>
      </w:pPr>
      <w:r>
        <w:t>Current Application Efforts</w:t>
      </w: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E807FA" w:rsidRDefault="00E807FA" w:rsidP="0016391F">
      <w:pPr>
        <w:pStyle w:val="Heading2"/>
      </w:pPr>
    </w:p>
    <w:p w:rsidR="0016391F" w:rsidRDefault="0016391F" w:rsidP="0016391F">
      <w:pPr>
        <w:pStyle w:val="Heading2"/>
      </w:pPr>
      <w:r>
        <w:t>Impact of SE on Mentor PAL to Date</w:t>
      </w:r>
    </w:p>
    <w:p w:rsidR="0016391F" w:rsidRDefault="0016391F" w:rsidP="000905FD">
      <w:pPr>
        <w:jc w:val="both"/>
      </w:pPr>
    </w:p>
    <w:p w:rsidR="0016391F" w:rsidRDefault="0016391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5C2FBF" w:rsidRDefault="005C2FBF" w:rsidP="000905FD">
      <w:pPr>
        <w:jc w:val="both"/>
      </w:pPr>
    </w:p>
    <w:p w:rsidR="005C2FBF" w:rsidRDefault="005C2FBF" w:rsidP="000905FD">
      <w:pPr>
        <w:jc w:val="both"/>
      </w:pPr>
    </w:p>
    <w:p w:rsidR="00CD0FC2" w:rsidRDefault="00BF0701" w:rsidP="00BF0701">
      <w:pPr>
        <w:pStyle w:val="Heading1"/>
      </w:pPr>
      <w:r>
        <w:t>Analysis</w:t>
      </w:r>
    </w:p>
    <w:p w:rsidR="00BF0701" w:rsidRDefault="00BF0701" w:rsidP="000905FD">
      <w:pPr>
        <w:jc w:val="both"/>
      </w:pPr>
    </w:p>
    <w:p w:rsidR="005C2FBF" w:rsidRDefault="00AC327B" w:rsidP="000905FD">
      <w:pPr>
        <w:jc w:val="both"/>
      </w:pPr>
      <w:r>
        <w:t xml:space="preserve">When this was all observed and considered, it seemed that there were good reasons to consider the application of some of these techniques and approaches in other research projects.  Further, larger projects with even more detailed and onerous procedures, it may warrant the recruitment of a System Engineer as a member of the </w:t>
      </w:r>
      <w:proofErr w:type="spellStart"/>
      <w:r>
        <w:t>researc</w:t>
      </w:r>
      <w:proofErr w:type="spellEnd"/>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BF0701" w:rsidRDefault="00BF0701" w:rsidP="00BF0701">
      <w:pPr>
        <w:pStyle w:val="Heading1"/>
      </w:pPr>
      <w:r>
        <w:t>Conclusions</w:t>
      </w:r>
    </w:p>
    <w:p w:rsidR="00BF0701" w:rsidRDefault="00BF0701" w:rsidP="000905FD">
      <w:pPr>
        <w:jc w:val="both"/>
      </w:pPr>
    </w:p>
    <w:p w:rsidR="00FC64F4" w:rsidRDefault="00FC64F4" w:rsidP="000905FD">
      <w:pPr>
        <w:jc w:val="both"/>
      </w:pPr>
      <w:r>
        <w:t xml:space="preserve">The authors assert that the data presented above justify the careful consideration of the adoption of some of the tools described. </w:t>
      </w: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682F9F" w:rsidRDefault="00682F9F"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FC64F4" w:rsidRDefault="00FC64F4" w:rsidP="000905FD">
      <w:pPr>
        <w:jc w:val="both"/>
      </w:pP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The authors want to acknowledge the leadership and support from the two co-</w:t>
      </w:r>
      <w:r w:rsidR="00732FA6">
        <w:t>Principal</w:t>
      </w:r>
      <w:r>
        <w:t xml:space="preserve"> Investigators, William Swartout, PhD and Benjamin Nye, PhD.  Their counsel for us and patience with us were invaluable.  They contri</w:t>
      </w:r>
      <w:r>
        <w:t>b</w:t>
      </w:r>
      <w:r>
        <w:t>uted ideas and data that were included in the data listed above.</w:t>
      </w:r>
      <w:r w:rsidR="00682F9F">
        <w:t xml:space="preserve">  Much of the work described above was conducted in response to Office of Naval Research contract: </w:t>
      </w:r>
      <w:r w:rsidR="00682F9F" w:rsidRPr="00682F9F">
        <w:t>Mentor PAL: Growing STEM Pipelines with Personalized Dialogs with Virtual STEM Professionals, N00014-16-R-FO03</w:t>
      </w:r>
      <w:r w:rsidR="00682F9F">
        <w:t>.  The opinion</w:t>
      </w:r>
      <w:r w:rsidR="00AB1AA2">
        <w:t>s</w:t>
      </w:r>
      <w:r w:rsidR="00682F9F">
        <w:t xml:space="preserve"> expressed herein are the authors’ own and do not necessarily reflect those of the Department of the Navy or the U.S. Government.</w:t>
      </w:r>
    </w:p>
    <w:p w:rsidR="00FC64F4" w:rsidRDefault="00FC64F4" w:rsidP="000905FD">
      <w:pPr>
        <w:jc w:val="both"/>
      </w:pPr>
    </w:p>
    <w:p w:rsidR="00BF0701" w:rsidRDefault="00BF0701" w:rsidP="00BF0701">
      <w:pPr>
        <w:pStyle w:val="Heading1"/>
      </w:pPr>
      <w:r>
        <w:t xml:space="preserve">References </w:t>
      </w:r>
    </w:p>
    <w:p w:rsidR="00BF0701" w:rsidRDefault="00BF0701" w:rsidP="000905FD">
      <w:pPr>
        <w:jc w:val="both"/>
      </w:pPr>
    </w:p>
    <w:p w:rsidR="00BF0701" w:rsidRDefault="00BF0701" w:rsidP="007561F9">
      <w:pPr>
        <w:pStyle w:val="IITSEC-Ref"/>
      </w:pPr>
      <w:proofErr w:type="gramStart"/>
      <w:r w:rsidRPr="00BF0701">
        <w:t>Allwood, J., Traum, D., &amp; Jokinen, K. (2000).</w:t>
      </w:r>
      <w:proofErr w:type="gramEnd"/>
      <w:r w:rsidRPr="00BF0701">
        <w:t xml:space="preserve"> “Cooperation, Dialogue and Ethics.” </w:t>
      </w:r>
      <w:r w:rsidRPr="00674463">
        <w:rPr>
          <w:i/>
        </w:rPr>
        <w:t>International Journal of Human-Computer Studie</w:t>
      </w:r>
      <w:r w:rsidRPr="00BF0701">
        <w:t>s, 53(6), 871-914.</w:t>
      </w:r>
    </w:p>
    <w:p w:rsidR="00C852BF" w:rsidRPr="00BF0701" w:rsidRDefault="00C852BF" w:rsidP="00C852BF">
      <w:pPr>
        <w:pStyle w:val="IITSEC-Ref"/>
      </w:pPr>
      <w:r w:rsidRPr="00C852BF">
        <w:t xml:space="preserve">Brooks </w:t>
      </w:r>
      <w:proofErr w:type="spellStart"/>
      <w:r w:rsidRPr="00C852BF">
        <w:t>Jr</w:t>
      </w:r>
      <w:proofErr w:type="spellEnd"/>
      <w:r w:rsidRPr="00C852BF">
        <w:t>, Frederick P. (1995)</w:t>
      </w:r>
      <w:r>
        <w:t xml:space="preserve">, </w:t>
      </w:r>
      <w:r w:rsidRPr="00C852BF">
        <w:t>"</w:t>
      </w:r>
      <w:r w:rsidRPr="00C852BF">
        <w:rPr>
          <w:i/>
        </w:rPr>
        <w:t>The Mythical Man-Month</w:t>
      </w:r>
      <w:r w:rsidRPr="00C852BF">
        <w:t xml:space="preserve">." </w:t>
      </w:r>
      <w:proofErr w:type="gramStart"/>
      <w:r>
        <w:t xml:space="preserve">Anniversary Edition, </w:t>
      </w:r>
      <w:r w:rsidRPr="00C852BF">
        <w:t>Addison-Wesley Professio</w:t>
      </w:r>
      <w:r w:rsidRPr="00C852BF">
        <w:t>n</w:t>
      </w:r>
      <w:r w:rsidRPr="00C852BF">
        <w:t>a</w:t>
      </w:r>
      <w:r>
        <w:t>l, Boston, MA</w:t>
      </w:r>
      <w:r w:rsidRPr="00C852BF">
        <w:t>.</w:t>
      </w:r>
      <w:proofErr w:type="gramEnd"/>
    </w:p>
    <w:p w:rsidR="00BF0701" w:rsidRPr="00BF0701" w:rsidRDefault="00674463" w:rsidP="007561F9">
      <w:pPr>
        <w:pStyle w:val="IITSEC-Ref"/>
      </w:pPr>
      <w:r>
        <w:t>Chowdhury, G.</w:t>
      </w:r>
      <w:r w:rsidR="00BF0701" w:rsidRPr="00BF0701">
        <w:t xml:space="preserve"> (2003). </w:t>
      </w:r>
      <w:proofErr w:type="gramStart"/>
      <w:r w:rsidR="00BF0701" w:rsidRPr="00BF0701">
        <w:t>“Natural language processing.”</w:t>
      </w:r>
      <w:proofErr w:type="gramEnd"/>
      <w:r w:rsidR="00BF0701" w:rsidRPr="00BF0701">
        <w:t xml:space="preserve"> </w:t>
      </w:r>
      <w:r w:rsidR="00BF0701" w:rsidRPr="00674463">
        <w:rPr>
          <w:i/>
        </w:rPr>
        <w:t>Annual</w:t>
      </w:r>
      <w:r w:rsidR="00BF0701" w:rsidRPr="00BF0701">
        <w:t xml:space="preserve"> </w:t>
      </w:r>
      <w:r w:rsidR="00BF0701" w:rsidRPr="00674463">
        <w:rPr>
          <w:i/>
        </w:rPr>
        <w:t>review of information science and technology</w:t>
      </w:r>
      <w:r w:rsidR="00BF0701" w:rsidRPr="00BF0701">
        <w:t>, 37(1), 51-89.</w:t>
      </w:r>
    </w:p>
    <w:p w:rsidR="00BF0701" w:rsidRDefault="00BF0701" w:rsidP="007561F9">
      <w:pPr>
        <w:pStyle w:val="IITSEC-Ref"/>
      </w:pPr>
      <w:proofErr w:type="gramStart"/>
      <w:r w:rsidRPr="00BF0701">
        <w:lastRenderedPageBreak/>
        <w:t>Collobert, R., &amp; Weston, J. (2008, July).</w:t>
      </w:r>
      <w:proofErr w:type="gramEnd"/>
      <w:r w:rsidRPr="00BF0701">
        <w:t xml:space="preserve"> “A unified architecture for natural language processing: Deep neural networks with multitask learning.” </w:t>
      </w:r>
      <w:proofErr w:type="gramStart"/>
      <w:r w:rsidRPr="00BF0701">
        <w:t xml:space="preserve">In Proceedings of the </w:t>
      </w:r>
      <w:r w:rsidRPr="00674463">
        <w:rPr>
          <w:i/>
        </w:rPr>
        <w:t xml:space="preserve">25th international conference on Machine learning </w:t>
      </w:r>
      <w:r w:rsidRPr="00BF0701">
        <w:t>(pp. 160-167).</w:t>
      </w:r>
      <w:proofErr w:type="gramEnd"/>
      <w:r w:rsidRPr="00BF0701">
        <w:t xml:space="preserve"> </w:t>
      </w:r>
      <w:proofErr w:type="gramStart"/>
      <w:r w:rsidRPr="00BF0701">
        <w:t>ACM.</w:t>
      </w:r>
      <w:proofErr w:type="gramEnd"/>
    </w:p>
    <w:p w:rsidR="00674463" w:rsidRPr="00BF0701" w:rsidRDefault="00674463" w:rsidP="007561F9">
      <w:pPr>
        <w:pStyle w:val="IITSEC-Ref"/>
      </w:pPr>
      <w:r>
        <w:t xml:space="preserve">Gould, J. (2107), </w:t>
      </w:r>
      <w:r w:rsidRPr="00674463">
        <w:t>Military chiefs warn of force-readiness struggles</w:t>
      </w:r>
      <w:r>
        <w:t xml:space="preserve">, </w:t>
      </w:r>
      <w:r w:rsidRPr="00674463">
        <w:rPr>
          <w:i/>
        </w:rPr>
        <w:t>Defense News</w:t>
      </w:r>
      <w:r>
        <w:t xml:space="preserve">, Retrieved 15 January 2018 from:  </w:t>
      </w:r>
      <w:r w:rsidRPr="00674463">
        <w:t>https://www.defensenews.com/congress/2017/02/07/military-chiefs-warn-of-force-readiness-struggles/</w:t>
      </w:r>
    </w:p>
    <w:p w:rsidR="00BF0701" w:rsidRPr="00BF0701" w:rsidRDefault="00BF0701" w:rsidP="007561F9">
      <w:pPr>
        <w:pStyle w:val="IITSEC-Ref"/>
      </w:pPr>
      <w:proofErr w:type="gramStart"/>
      <w:r w:rsidRPr="00BF0701">
        <w:t>Kenny, P., Hartholt, A., Gratch, J., Swartout, W., Traum, D., Marsella, S., &amp; Piepol, D. (2007, November).</w:t>
      </w:r>
      <w:proofErr w:type="gramEnd"/>
      <w:r w:rsidRPr="00BF0701">
        <w:t xml:space="preserve"> </w:t>
      </w:r>
      <w:proofErr w:type="gramStart"/>
      <w:r w:rsidRPr="00BF0701">
        <w:t>“Building Interactive Virtual Humans for Training Environments.”</w:t>
      </w:r>
      <w:proofErr w:type="gramEnd"/>
      <w:r w:rsidRPr="00BF0701">
        <w:t xml:space="preserve"> </w:t>
      </w:r>
      <w:proofErr w:type="gramStart"/>
      <w:r w:rsidRPr="00BF0701">
        <w:t xml:space="preserve">In Proceedings of the </w:t>
      </w:r>
      <w:r w:rsidRPr="00BF0701">
        <w:rPr>
          <w:rStyle w:val="Emphasis"/>
        </w:rPr>
        <w:t>Interservice/Industry Simulation, Training and Education Conference</w:t>
      </w:r>
      <w:r w:rsidRPr="00BF0701">
        <w:t>, Orlando, Florida, 2007 (Vol. 174).</w:t>
      </w:r>
      <w:proofErr w:type="gramEnd"/>
    </w:p>
    <w:p w:rsidR="00BF0701" w:rsidRPr="00BF0701" w:rsidRDefault="00BF0701" w:rsidP="007561F9">
      <w:pPr>
        <w:pStyle w:val="IITSEC-Ref"/>
      </w:pPr>
      <w:r w:rsidRPr="00BF0701">
        <w:t xml:space="preserve">Kudryavtsev, Andrey. </w:t>
      </w:r>
      <w:proofErr w:type="gramStart"/>
      <w:r w:rsidRPr="00BF0701">
        <w:t>"Automatic Speech Recognition Services Comparison."</w:t>
      </w:r>
      <w:proofErr w:type="gramEnd"/>
      <w:r w:rsidRPr="00BF0701">
        <w:t xml:space="preserve"> </w:t>
      </w:r>
      <w:proofErr w:type="gramStart"/>
      <w:r w:rsidRPr="00674463">
        <w:rPr>
          <w:i/>
        </w:rPr>
        <w:t>Grid Designer's Blog</w:t>
      </w:r>
      <w:r w:rsidRPr="00BF0701">
        <w:t>.</w:t>
      </w:r>
      <w:proofErr w:type="gramEnd"/>
      <w:r w:rsidRPr="00BF0701">
        <w:t xml:space="preserve"> </w:t>
      </w:r>
      <w:proofErr w:type="gramStart"/>
      <w:r w:rsidRPr="00BF0701">
        <w:t>N.p</w:t>
      </w:r>
      <w:proofErr w:type="gramEnd"/>
      <w:r w:rsidRPr="00BF0701">
        <w:t>., 11 Jan. 2016.</w:t>
      </w:r>
      <w:r w:rsidR="00674463">
        <w:t xml:space="preserve"> </w:t>
      </w:r>
      <w:proofErr w:type="gramStart"/>
      <w:r w:rsidR="00674463">
        <w:t xml:space="preserve">Retrieved on 20 Apr. 2017 from: </w:t>
      </w:r>
      <w:r w:rsidRPr="00BF0701">
        <w:t>http://blog-archive.griddynamics.com/2016/01/automatic-s</w:t>
      </w:r>
      <w:r w:rsidR="00674463">
        <w:t>peech-recognition-services.html</w:t>
      </w:r>
      <w:r w:rsidRPr="00BF0701">
        <w:t>.</w:t>
      </w:r>
      <w:proofErr w:type="gramEnd"/>
    </w:p>
    <w:p w:rsidR="00BF0701" w:rsidRDefault="00BF0701" w:rsidP="007561F9">
      <w:pPr>
        <w:pStyle w:val="IITSEC-Ref"/>
      </w:pPr>
      <w:r w:rsidRPr="00BF0701">
        <w:t xml:space="preserve">Lee, K. F. (1988). </w:t>
      </w:r>
      <w:proofErr w:type="gramStart"/>
      <w:r w:rsidRPr="00BF0701">
        <w:t>“Automatic speech recognition: the development of the SPHINX system” (Vol. 62).</w:t>
      </w:r>
      <w:proofErr w:type="gramEnd"/>
      <w:r w:rsidRPr="00BF0701">
        <w:t xml:space="preserve"> </w:t>
      </w:r>
      <w:proofErr w:type="gramStart"/>
      <w:r w:rsidRPr="00674463">
        <w:rPr>
          <w:i/>
        </w:rPr>
        <w:t>Springer Science &amp; Business Media</w:t>
      </w:r>
      <w:r w:rsidRPr="00BF0701">
        <w:t>.</w:t>
      </w:r>
      <w:proofErr w:type="gramEnd"/>
    </w:p>
    <w:p w:rsidR="00365828" w:rsidRDefault="00365828" w:rsidP="007561F9">
      <w:pPr>
        <w:pStyle w:val="IITSEC-Ref"/>
      </w:pPr>
      <w:proofErr w:type="gramStart"/>
      <w:r>
        <w:t>Nye, B., Swartout, W., Campbell, J., Krishnamachari, M., Kaimakis, N. and Davis, D. (2017).</w:t>
      </w:r>
      <w:proofErr w:type="gramEnd"/>
      <w:r>
        <w:t xml:space="preserve"> "MentorPal: I</w:t>
      </w:r>
      <w:r>
        <w:t>n</w:t>
      </w:r>
      <w:r>
        <w:t xml:space="preserve">teractive Virtual Mentors Based on Real-Life STEM Professionals." in the Proceedings of the </w:t>
      </w:r>
      <w:r w:rsidRPr="00365828">
        <w:rPr>
          <w:i/>
        </w:rPr>
        <w:t>Interservice/Industry Simulation, Training and Education Conference,</w:t>
      </w:r>
      <w:r>
        <w:t xml:space="preserve"> Orlando, Florida, 2017</w:t>
      </w:r>
    </w:p>
    <w:p w:rsidR="007561F9" w:rsidRDefault="007561F9" w:rsidP="007561F9">
      <w:pPr>
        <w:pStyle w:val="IITSEC-Ref"/>
      </w:pPr>
      <w:proofErr w:type="gramStart"/>
      <w:r w:rsidRPr="007561F9">
        <w:t>Payne, S. C., &amp; Huffman, A. H. (2</w:t>
      </w:r>
      <w:r w:rsidR="00365828">
        <w:t>005).</w:t>
      </w:r>
      <w:proofErr w:type="gramEnd"/>
      <w:r w:rsidR="00365828">
        <w:t xml:space="preserve"> </w:t>
      </w:r>
      <w:proofErr w:type="gramStart"/>
      <w:r w:rsidR="00365828">
        <w:t>A longitudinal Examination of the Influence of Mentoring on O</w:t>
      </w:r>
      <w:r w:rsidRPr="007561F9">
        <w:t>rgan</w:t>
      </w:r>
      <w:r w:rsidRPr="007561F9">
        <w:t>i</w:t>
      </w:r>
      <w:r w:rsidRPr="007561F9">
        <w:t>za</w:t>
      </w:r>
      <w:r w:rsidR="00365828">
        <w:t>tional Commitment and T</w:t>
      </w:r>
      <w:r w:rsidRPr="007561F9">
        <w:t>urnover.</w:t>
      </w:r>
      <w:proofErr w:type="gramEnd"/>
      <w:r w:rsidRPr="007561F9">
        <w:t xml:space="preserve"> </w:t>
      </w:r>
      <w:r w:rsidRPr="007561F9">
        <w:rPr>
          <w:i/>
        </w:rPr>
        <w:t>Academy of Management Journal</w:t>
      </w:r>
      <w:r w:rsidRPr="007561F9">
        <w:t>, 48(1), 158-168.</w:t>
      </w:r>
    </w:p>
    <w:p w:rsidR="009841BB" w:rsidRPr="00BF0701" w:rsidRDefault="009841BB" w:rsidP="007561F9">
      <w:pPr>
        <w:pStyle w:val="IITSEC-Ref"/>
      </w:pPr>
      <w:proofErr w:type="gramStart"/>
      <w:r w:rsidRPr="009841BB">
        <w:t>Pressman, R. S.</w:t>
      </w:r>
      <w:r>
        <w:t xml:space="preserve"> &amp; Maxim, B.</w:t>
      </w:r>
      <w:r w:rsidRPr="009841BB">
        <w:t xml:space="preserve"> (2005).</w:t>
      </w:r>
      <w:proofErr w:type="gramEnd"/>
      <w:r w:rsidRPr="009841BB">
        <w:t xml:space="preserve"> </w:t>
      </w:r>
      <w:r w:rsidRPr="009841BB">
        <w:rPr>
          <w:i/>
        </w:rPr>
        <w:t>Software Engineering: a Practitioner's Approach</w:t>
      </w:r>
      <w:r w:rsidRPr="009841BB">
        <w:t>. Palgrave Macmillan</w:t>
      </w:r>
      <w:r>
        <w:t>, Basingstoke, UK</w:t>
      </w:r>
      <w:proofErr w:type="gramStart"/>
      <w:r>
        <w:t xml:space="preserve">, </w:t>
      </w:r>
      <w:r w:rsidRPr="009841BB">
        <w:t>.</w:t>
      </w:r>
      <w:proofErr w:type="gramEnd"/>
    </w:p>
    <w:p w:rsidR="00BF0701" w:rsidRPr="00BF0701" w:rsidRDefault="00BF0701" w:rsidP="007561F9">
      <w:pPr>
        <w:pStyle w:val="IITSEC-Ref"/>
      </w:pPr>
      <w:r w:rsidRPr="00BF0701">
        <w:t>Rizzo, A., Lange, B., Buckwalter, J. G., Forbell, E., Kim, J., Sagae, K</w:t>
      </w:r>
      <w:proofErr w:type="gramStart"/>
      <w:r w:rsidRPr="00BF0701">
        <w:t>., ...</w:t>
      </w:r>
      <w:proofErr w:type="gramEnd"/>
      <w:r w:rsidRPr="00BF0701">
        <w:t xml:space="preserve"> &amp; Parsons, T. (2011). “SimCoach: an Intelligent Virtual Human System for Providing Healthcare Information and Support.” </w:t>
      </w:r>
      <w:r w:rsidRPr="00674463">
        <w:rPr>
          <w:i/>
        </w:rPr>
        <w:t>International Journal on Disability and Human Development</w:t>
      </w:r>
      <w:r w:rsidRPr="00BF0701">
        <w:t>, 10(4), 277-281.</w:t>
      </w:r>
    </w:p>
    <w:p w:rsidR="00BF0701"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Satori, H, Harti, M., &amp; Chenfour, N. (2007).</w:t>
      </w:r>
      <w:proofErr w:type="gramEnd"/>
      <w:r w:rsidRPr="00BF0701">
        <w:t xml:space="preserve"> “Introduction to Arabic Speech Recognition using CMU Sphinx System.” </w:t>
      </w:r>
      <w:r w:rsidRPr="00674463">
        <w:rPr>
          <w:i/>
        </w:rPr>
        <w:t>arXiv preprint</w:t>
      </w:r>
      <w:r w:rsidRPr="00BF0701">
        <w:t xml:space="preserve"> arXiv</w:t>
      </w:r>
      <w:proofErr w:type="gramStart"/>
      <w:r w:rsidRPr="00BF0701">
        <w:t>:0704.2083</w:t>
      </w:r>
      <w:proofErr w:type="gramEnd"/>
      <w:r w:rsidRPr="00BF0701">
        <w:t>.</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Gratch, J., Hill Jr., R W., Hovy, E., Marsella, S., Rickel, J., &amp; Traum, D. (2006). “Toward Vi</w:t>
      </w:r>
      <w:r w:rsidRPr="00BF0701">
        <w:t>r</w:t>
      </w:r>
      <w:r w:rsidRPr="00BF0701">
        <w:t xml:space="preserve">tual Humans.” </w:t>
      </w:r>
      <w:r w:rsidRPr="00674463">
        <w:rPr>
          <w:i/>
        </w:rPr>
        <w:t>AI Magazine</w:t>
      </w:r>
      <w:r w:rsidRPr="00BF0701">
        <w:t>, 27(2), 96.</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Nye, B. D., Hartholt, A., Reilly, A., Graesser, A. C., VanLehn, K</w:t>
      </w:r>
      <w:proofErr w:type="gramStart"/>
      <w:r w:rsidRPr="00BF0701">
        <w:t>., ...</w:t>
      </w:r>
      <w:proofErr w:type="gramEnd"/>
      <w:r w:rsidRPr="00BF0701">
        <w:t xml:space="preserve"> &amp; Wang, L. (2016, March). “Designing a Personal Assistant for Life-Long Learning (PAL3).” </w:t>
      </w:r>
      <w:proofErr w:type="gramStart"/>
      <w:r w:rsidRPr="00BF0701">
        <w:t xml:space="preserve">In </w:t>
      </w:r>
      <w:r w:rsidRPr="00674463">
        <w:rPr>
          <w:i/>
        </w:rPr>
        <w:t>The Twenty-Ninth International Flairs Conference</w:t>
      </w:r>
      <w:r w:rsidRPr="00BF0701">
        <w:t>.</w:t>
      </w:r>
      <w:proofErr w:type="gramEnd"/>
    </w:p>
    <w:p w:rsidR="007561F9"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Traum, D., &amp; Rickel, J. (2002, July).</w:t>
      </w:r>
      <w:proofErr w:type="gramEnd"/>
      <w:r w:rsidRPr="00BF0701">
        <w:t xml:space="preserve"> “Embodied Agents for Multi-party Dialogue in Immersive Virtual Worlds.” In Proceedings of the first </w:t>
      </w:r>
      <w:r w:rsidRPr="00674463">
        <w:rPr>
          <w:i/>
        </w:rPr>
        <w:t>International Joint Conference on Autonomous Agents and Multi-agent Systems</w:t>
      </w:r>
      <w:r w:rsidRPr="00BF0701">
        <w:t xml:space="preserve">: part 2 (pp. 766-773). </w:t>
      </w:r>
      <w:proofErr w:type="gramStart"/>
      <w:r w:rsidRPr="00BF0701">
        <w:t>ACM.</w:t>
      </w:r>
      <w:proofErr w:type="gramEnd"/>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Traum, D., Jones, A., Hays, K., Maio, H., Alexander, O., Artstein, R., Debevec, P., Gainer, A., Georgila, K., Haase, K., Jungblut, K., Leuski, A., Smith, S., &amp; Jungblut, K. (2015, November). “New Dimensions in Te</w:t>
      </w:r>
      <w:r w:rsidRPr="00BF0701">
        <w:t>s</w:t>
      </w:r>
      <w:r w:rsidRPr="00BF0701">
        <w:t xml:space="preserve">timony: Digitally Preserving a Holocaust Survivor’s Interactive Storytelling.” </w:t>
      </w:r>
      <w:proofErr w:type="gramStart"/>
      <w:r w:rsidRPr="00BF0701">
        <w:t xml:space="preserve">In </w:t>
      </w:r>
      <w:r w:rsidRPr="00674463">
        <w:rPr>
          <w:i/>
        </w:rPr>
        <w:t>International Conference on Interactive Digital Storytelling</w:t>
      </w:r>
      <w:r w:rsidRPr="00BF0701">
        <w:t xml:space="preserve"> (pp. 269-281).</w:t>
      </w:r>
      <w:proofErr w:type="gramEnd"/>
      <w:r w:rsidRPr="00BF0701">
        <w:t xml:space="preserve"> </w:t>
      </w:r>
      <w:proofErr w:type="gramStart"/>
      <w:r w:rsidRPr="00BF0701">
        <w:t>“Springer International Publishing.</w:t>
      </w:r>
      <w:proofErr w:type="gramEnd"/>
    </w:p>
    <w:p w:rsidR="00BF0701" w:rsidRDefault="00BF0701" w:rsidP="007561F9">
      <w:pPr>
        <w:pStyle w:val="IITSEC-Ref"/>
      </w:pPr>
    </w:p>
    <w:p w:rsidR="00CD0FC2" w:rsidRDefault="00CD0FC2" w:rsidP="007561F9">
      <w:pPr>
        <w:pStyle w:val="IITSEC-Ref"/>
      </w:pPr>
    </w:p>
    <w:p w:rsidR="00CD0FC2" w:rsidRDefault="00CD0FC2" w:rsidP="000905FD">
      <w:pPr>
        <w:jc w:val="both"/>
      </w:pPr>
    </w:p>
    <w:p w:rsidR="00CD0FC2" w:rsidRDefault="00CD0FC2" w:rsidP="000905FD">
      <w:pPr>
        <w:jc w:val="both"/>
      </w:pPr>
    </w:p>
    <w:p w:rsidR="00CD0FC2" w:rsidRPr="00851034" w:rsidRDefault="00CD0FC2">
      <w:pPr>
        <w:pStyle w:val="Heading1"/>
      </w:pPr>
    </w:p>
    <w:sectPr w:rsidR="00CD0FC2" w:rsidRPr="00851034" w:rsidSect="00580987">
      <w:headerReference w:type="default" r:id="rId20"/>
      <w:footerReference w:type="default" r:id="rId21"/>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958" w:rsidRDefault="003E7958">
      <w:r>
        <w:separator/>
      </w:r>
    </w:p>
  </w:endnote>
  <w:endnote w:type="continuationSeparator" w:id="0">
    <w:p w:rsidR="003E7958" w:rsidRDefault="003E79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EB2A2E">
      <w:rPr>
        <w:i/>
        <w:snapToGrid w:val="0"/>
        <w:sz w:val="18"/>
        <w:szCs w:val="18"/>
      </w:rPr>
      <w:fldChar w:fldCharType="begin"/>
    </w:r>
    <w:r w:rsidR="000A1DE4">
      <w:rPr>
        <w:i/>
        <w:snapToGrid w:val="0"/>
        <w:sz w:val="18"/>
        <w:szCs w:val="18"/>
      </w:rPr>
      <w:instrText xml:space="preserve"> PAGE </w:instrText>
    </w:r>
    <w:r w:rsidR="00EB2A2E">
      <w:rPr>
        <w:i/>
        <w:snapToGrid w:val="0"/>
        <w:sz w:val="18"/>
        <w:szCs w:val="18"/>
      </w:rPr>
      <w:fldChar w:fldCharType="separate"/>
    </w:r>
    <w:r w:rsidR="00B505D1">
      <w:rPr>
        <w:i/>
        <w:noProof/>
        <w:snapToGrid w:val="0"/>
        <w:sz w:val="18"/>
        <w:szCs w:val="18"/>
      </w:rPr>
      <w:t>1</w:t>
    </w:r>
    <w:r w:rsidR="00EB2A2E">
      <w:rPr>
        <w:i/>
        <w:snapToGrid w:val="0"/>
        <w:sz w:val="18"/>
        <w:szCs w:val="18"/>
      </w:rPr>
      <w:fldChar w:fldCharType="end"/>
    </w:r>
    <w:r w:rsidR="000A1DE4">
      <w:rPr>
        <w:i/>
        <w:snapToGrid w:val="0"/>
        <w:sz w:val="18"/>
        <w:szCs w:val="18"/>
      </w:rPr>
      <w:t xml:space="preserve"> of </w:t>
    </w:r>
    <w:r w:rsidR="00EB2A2E">
      <w:rPr>
        <w:i/>
        <w:snapToGrid w:val="0"/>
        <w:sz w:val="18"/>
        <w:szCs w:val="18"/>
      </w:rPr>
      <w:fldChar w:fldCharType="begin"/>
    </w:r>
    <w:r w:rsidR="000A1DE4">
      <w:rPr>
        <w:i/>
        <w:snapToGrid w:val="0"/>
        <w:sz w:val="18"/>
        <w:szCs w:val="18"/>
      </w:rPr>
      <w:instrText xml:space="preserve"> NUMPAGES </w:instrText>
    </w:r>
    <w:r w:rsidR="00EB2A2E">
      <w:rPr>
        <w:i/>
        <w:snapToGrid w:val="0"/>
        <w:sz w:val="18"/>
        <w:szCs w:val="18"/>
      </w:rPr>
      <w:fldChar w:fldCharType="separate"/>
    </w:r>
    <w:r w:rsidR="00B505D1">
      <w:rPr>
        <w:i/>
        <w:noProof/>
        <w:snapToGrid w:val="0"/>
        <w:sz w:val="18"/>
        <w:szCs w:val="18"/>
      </w:rPr>
      <w:t>12</w:t>
    </w:r>
    <w:r w:rsidR="00EB2A2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958" w:rsidRDefault="003E7958">
      <w:r>
        <w:separator/>
      </w:r>
    </w:p>
  </w:footnote>
  <w:footnote w:type="continuationSeparator" w:id="0">
    <w:p w:rsidR="003E7958" w:rsidRDefault="003E79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50530"/>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2E05"/>
    <w:rsid w:val="00036301"/>
    <w:rsid w:val="000413D5"/>
    <w:rsid w:val="00045F9B"/>
    <w:rsid w:val="000477E1"/>
    <w:rsid w:val="000502CE"/>
    <w:rsid w:val="0005593A"/>
    <w:rsid w:val="0005739D"/>
    <w:rsid w:val="000612C8"/>
    <w:rsid w:val="00065002"/>
    <w:rsid w:val="00066D00"/>
    <w:rsid w:val="00066D1A"/>
    <w:rsid w:val="00070559"/>
    <w:rsid w:val="000715DC"/>
    <w:rsid w:val="00074940"/>
    <w:rsid w:val="00075DB3"/>
    <w:rsid w:val="00087D35"/>
    <w:rsid w:val="000905FD"/>
    <w:rsid w:val="000A1DE4"/>
    <w:rsid w:val="000A767C"/>
    <w:rsid w:val="000C1C99"/>
    <w:rsid w:val="000C4F68"/>
    <w:rsid w:val="000C50F0"/>
    <w:rsid w:val="000D1496"/>
    <w:rsid w:val="000D660B"/>
    <w:rsid w:val="000F3D8C"/>
    <w:rsid w:val="000F41F5"/>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94C"/>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85E14"/>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65828"/>
    <w:rsid w:val="003779F6"/>
    <w:rsid w:val="0038763D"/>
    <w:rsid w:val="003929FC"/>
    <w:rsid w:val="00394854"/>
    <w:rsid w:val="00397434"/>
    <w:rsid w:val="003A4EEC"/>
    <w:rsid w:val="003A766C"/>
    <w:rsid w:val="003B0C0E"/>
    <w:rsid w:val="003B2FA9"/>
    <w:rsid w:val="003B3792"/>
    <w:rsid w:val="003C091C"/>
    <w:rsid w:val="003C2DE4"/>
    <w:rsid w:val="003C33B4"/>
    <w:rsid w:val="003C6343"/>
    <w:rsid w:val="003D2540"/>
    <w:rsid w:val="003D2A98"/>
    <w:rsid w:val="003D7A7A"/>
    <w:rsid w:val="003E3EAC"/>
    <w:rsid w:val="003E7958"/>
    <w:rsid w:val="003F138E"/>
    <w:rsid w:val="003F2BB2"/>
    <w:rsid w:val="003F34CE"/>
    <w:rsid w:val="003F70FA"/>
    <w:rsid w:val="00400A41"/>
    <w:rsid w:val="0040733B"/>
    <w:rsid w:val="00414D08"/>
    <w:rsid w:val="004235A8"/>
    <w:rsid w:val="004256CC"/>
    <w:rsid w:val="0043042A"/>
    <w:rsid w:val="00432753"/>
    <w:rsid w:val="0044471B"/>
    <w:rsid w:val="00454FB0"/>
    <w:rsid w:val="0045657A"/>
    <w:rsid w:val="00457803"/>
    <w:rsid w:val="0045789F"/>
    <w:rsid w:val="00463055"/>
    <w:rsid w:val="00465689"/>
    <w:rsid w:val="004728AB"/>
    <w:rsid w:val="00476289"/>
    <w:rsid w:val="00496623"/>
    <w:rsid w:val="004A1CF9"/>
    <w:rsid w:val="004B3027"/>
    <w:rsid w:val="004B794A"/>
    <w:rsid w:val="004C121F"/>
    <w:rsid w:val="004C3AC3"/>
    <w:rsid w:val="004D19AD"/>
    <w:rsid w:val="004D7C00"/>
    <w:rsid w:val="004E0F35"/>
    <w:rsid w:val="004E2016"/>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12E2"/>
    <w:rsid w:val="005421A5"/>
    <w:rsid w:val="00546E68"/>
    <w:rsid w:val="00550480"/>
    <w:rsid w:val="00553B49"/>
    <w:rsid w:val="00560365"/>
    <w:rsid w:val="00564733"/>
    <w:rsid w:val="005654D2"/>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2FBF"/>
    <w:rsid w:val="005C3F0D"/>
    <w:rsid w:val="005D1B21"/>
    <w:rsid w:val="005D722B"/>
    <w:rsid w:val="005E4F99"/>
    <w:rsid w:val="006039BE"/>
    <w:rsid w:val="00616449"/>
    <w:rsid w:val="00617928"/>
    <w:rsid w:val="00617945"/>
    <w:rsid w:val="0062049B"/>
    <w:rsid w:val="006221FA"/>
    <w:rsid w:val="0062514C"/>
    <w:rsid w:val="00626594"/>
    <w:rsid w:val="006330D6"/>
    <w:rsid w:val="00636C29"/>
    <w:rsid w:val="00643337"/>
    <w:rsid w:val="00646A17"/>
    <w:rsid w:val="00647950"/>
    <w:rsid w:val="006502A5"/>
    <w:rsid w:val="006537E5"/>
    <w:rsid w:val="00661B9A"/>
    <w:rsid w:val="006652FC"/>
    <w:rsid w:val="00672C1C"/>
    <w:rsid w:val="00674463"/>
    <w:rsid w:val="00675039"/>
    <w:rsid w:val="00675293"/>
    <w:rsid w:val="00676BBE"/>
    <w:rsid w:val="00682F9F"/>
    <w:rsid w:val="00694ECB"/>
    <w:rsid w:val="006A46AC"/>
    <w:rsid w:val="006B0887"/>
    <w:rsid w:val="006B0971"/>
    <w:rsid w:val="006B7AF1"/>
    <w:rsid w:val="006C12A7"/>
    <w:rsid w:val="006C46CB"/>
    <w:rsid w:val="006C6517"/>
    <w:rsid w:val="006D3F05"/>
    <w:rsid w:val="006E6255"/>
    <w:rsid w:val="006F563C"/>
    <w:rsid w:val="00700B07"/>
    <w:rsid w:val="007024BE"/>
    <w:rsid w:val="007038B3"/>
    <w:rsid w:val="00713316"/>
    <w:rsid w:val="0071734F"/>
    <w:rsid w:val="007223B2"/>
    <w:rsid w:val="00723E3B"/>
    <w:rsid w:val="007247E1"/>
    <w:rsid w:val="00726031"/>
    <w:rsid w:val="00732FA6"/>
    <w:rsid w:val="0073672F"/>
    <w:rsid w:val="00743143"/>
    <w:rsid w:val="007500A3"/>
    <w:rsid w:val="0075308A"/>
    <w:rsid w:val="00754297"/>
    <w:rsid w:val="00755052"/>
    <w:rsid w:val="007557CA"/>
    <w:rsid w:val="007561F9"/>
    <w:rsid w:val="00762390"/>
    <w:rsid w:val="00764D77"/>
    <w:rsid w:val="007651DF"/>
    <w:rsid w:val="007678F8"/>
    <w:rsid w:val="007822A2"/>
    <w:rsid w:val="00782EFB"/>
    <w:rsid w:val="00786C4B"/>
    <w:rsid w:val="0079045B"/>
    <w:rsid w:val="00795E7A"/>
    <w:rsid w:val="007962D9"/>
    <w:rsid w:val="007A25B4"/>
    <w:rsid w:val="007A5312"/>
    <w:rsid w:val="007C1C8F"/>
    <w:rsid w:val="007C263F"/>
    <w:rsid w:val="007C606B"/>
    <w:rsid w:val="007D3F33"/>
    <w:rsid w:val="007D653E"/>
    <w:rsid w:val="007E2964"/>
    <w:rsid w:val="007E4DC6"/>
    <w:rsid w:val="007E4F2F"/>
    <w:rsid w:val="007E65E5"/>
    <w:rsid w:val="007F10CB"/>
    <w:rsid w:val="007F44C6"/>
    <w:rsid w:val="007F4FA5"/>
    <w:rsid w:val="007F7393"/>
    <w:rsid w:val="008070F5"/>
    <w:rsid w:val="00810C67"/>
    <w:rsid w:val="008116E6"/>
    <w:rsid w:val="00827673"/>
    <w:rsid w:val="00832BFD"/>
    <w:rsid w:val="008369E8"/>
    <w:rsid w:val="008413B9"/>
    <w:rsid w:val="00843927"/>
    <w:rsid w:val="00850E24"/>
    <w:rsid w:val="00851034"/>
    <w:rsid w:val="00851495"/>
    <w:rsid w:val="00856783"/>
    <w:rsid w:val="00860816"/>
    <w:rsid w:val="00862EB5"/>
    <w:rsid w:val="00866FC2"/>
    <w:rsid w:val="00870BF0"/>
    <w:rsid w:val="008713D6"/>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4B22"/>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370B9"/>
    <w:rsid w:val="00944BE8"/>
    <w:rsid w:val="00945EBA"/>
    <w:rsid w:val="009463B0"/>
    <w:rsid w:val="00956E5D"/>
    <w:rsid w:val="00960E20"/>
    <w:rsid w:val="009612F5"/>
    <w:rsid w:val="009648EB"/>
    <w:rsid w:val="00965B07"/>
    <w:rsid w:val="00971F3D"/>
    <w:rsid w:val="00980717"/>
    <w:rsid w:val="009841BB"/>
    <w:rsid w:val="009A12AC"/>
    <w:rsid w:val="009A2A2B"/>
    <w:rsid w:val="009A4C9D"/>
    <w:rsid w:val="009B1D7D"/>
    <w:rsid w:val="009C1643"/>
    <w:rsid w:val="009C4AB9"/>
    <w:rsid w:val="009C7EAE"/>
    <w:rsid w:val="009D43E0"/>
    <w:rsid w:val="009E73D4"/>
    <w:rsid w:val="009F300B"/>
    <w:rsid w:val="009F4744"/>
    <w:rsid w:val="00A163F3"/>
    <w:rsid w:val="00A314C3"/>
    <w:rsid w:val="00A354E0"/>
    <w:rsid w:val="00A43B93"/>
    <w:rsid w:val="00A4442B"/>
    <w:rsid w:val="00A50643"/>
    <w:rsid w:val="00A512E9"/>
    <w:rsid w:val="00A54CD5"/>
    <w:rsid w:val="00A566D5"/>
    <w:rsid w:val="00A57CF2"/>
    <w:rsid w:val="00A62146"/>
    <w:rsid w:val="00A649C5"/>
    <w:rsid w:val="00A7039A"/>
    <w:rsid w:val="00A84D10"/>
    <w:rsid w:val="00A91945"/>
    <w:rsid w:val="00A96B5A"/>
    <w:rsid w:val="00AA07F5"/>
    <w:rsid w:val="00AB146D"/>
    <w:rsid w:val="00AB1AA2"/>
    <w:rsid w:val="00AB3A67"/>
    <w:rsid w:val="00AC327B"/>
    <w:rsid w:val="00AC656D"/>
    <w:rsid w:val="00AD0B21"/>
    <w:rsid w:val="00AD1282"/>
    <w:rsid w:val="00AD2D9D"/>
    <w:rsid w:val="00AD4CCD"/>
    <w:rsid w:val="00AE4823"/>
    <w:rsid w:val="00AF1BD9"/>
    <w:rsid w:val="00AF3A40"/>
    <w:rsid w:val="00AF61A5"/>
    <w:rsid w:val="00AF6F25"/>
    <w:rsid w:val="00B0660E"/>
    <w:rsid w:val="00B077F4"/>
    <w:rsid w:val="00B20883"/>
    <w:rsid w:val="00B22F59"/>
    <w:rsid w:val="00B30E27"/>
    <w:rsid w:val="00B32F4A"/>
    <w:rsid w:val="00B33B0E"/>
    <w:rsid w:val="00B4181E"/>
    <w:rsid w:val="00B44E32"/>
    <w:rsid w:val="00B505D1"/>
    <w:rsid w:val="00B50713"/>
    <w:rsid w:val="00B57685"/>
    <w:rsid w:val="00B57A4D"/>
    <w:rsid w:val="00B60E39"/>
    <w:rsid w:val="00B624F2"/>
    <w:rsid w:val="00B70367"/>
    <w:rsid w:val="00B81A59"/>
    <w:rsid w:val="00B85BBA"/>
    <w:rsid w:val="00B8600C"/>
    <w:rsid w:val="00B90BEA"/>
    <w:rsid w:val="00B95E43"/>
    <w:rsid w:val="00BA1528"/>
    <w:rsid w:val="00BA17CB"/>
    <w:rsid w:val="00BA3A6D"/>
    <w:rsid w:val="00BA6301"/>
    <w:rsid w:val="00BA7D6F"/>
    <w:rsid w:val="00BB00A3"/>
    <w:rsid w:val="00BB2066"/>
    <w:rsid w:val="00BC1CCF"/>
    <w:rsid w:val="00BC2595"/>
    <w:rsid w:val="00BC4002"/>
    <w:rsid w:val="00BD293C"/>
    <w:rsid w:val="00BE0D1E"/>
    <w:rsid w:val="00BE23B6"/>
    <w:rsid w:val="00BF0701"/>
    <w:rsid w:val="00BF1E56"/>
    <w:rsid w:val="00BF38C4"/>
    <w:rsid w:val="00BF3ACB"/>
    <w:rsid w:val="00BF6BE6"/>
    <w:rsid w:val="00BF7443"/>
    <w:rsid w:val="00C1008F"/>
    <w:rsid w:val="00C10A0B"/>
    <w:rsid w:val="00C2083B"/>
    <w:rsid w:val="00C218BC"/>
    <w:rsid w:val="00C245B0"/>
    <w:rsid w:val="00C32398"/>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852BF"/>
    <w:rsid w:val="00C9057B"/>
    <w:rsid w:val="00CA31B4"/>
    <w:rsid w:val="00CA4571"/>
    <w:rsid w:val="00CA69E8"/>
    <w:rsid w:val="00CC0272"/>
    <w:rsid w:val="00CC2B71"/>
    <w:rsid w:val="00CD01F7"/>
    <w:rsid w:val="00CD0FC2"/>
    <w:rsid w:val="00CD5128"/>
    <w:rsid w:val="00CD5556"/>
    <w:rsid w:val="00CE614A"/>
    <w:rsid w:val="00CE634C"/>
    <w:rsid w:val="00CF4E8F"/>
    <w:rsid w:val="00CF6760"/>
    <w:rsid w:val="00D02740"/>
    <w:rsid w:val="00D079ED"/>
    <w:rsid w:val="00D15856"/>
    <w:rsid w:val="00D20A15"/>
    <w:rsid w:val="00D25B5E"/>
    <w:rsid w:val="00D26937"/>
    <w:rsid w:val="00D32EBD"/>
    <w:rsid w:val="00D33F31"/>
    <w:rsid w:val="00D416DA"/>
    <w:rsid w:val="00D60F26"/>
    <w:rsid w:val="00D63FE3"/>
    <w:rsid w:val="00D66E31"/>
    <w:rsid w:val="00D731FF"/>
    <w:rsid w:val="00D814EB"/>
    <w:rsid w:val="00D912FF"/>
    <w:rsid w:val="00D91DA8"/>
    <w:rsid w:val="00D93A9C"/>
    <w:rsid w:val="00D97AB7"/>
    <w:rsid w:val="00DA1EAA"/>
    <w:rsid w:val="00DA2496"/>
    <w:rsid w:val="00DA30B3"/>
    <w:rsid w:val="00DA4AE3"/>
    <w:rsid w:val="00DB019D"/>
    <w:rsid w:val="00DB0C02"/>
    <w:rsid w:val="00DB1049"/>
    <w:rsid w:val="00DB6129"/>
    <w:rsid w:val="00DC591D"/>
    <w:rsid w:val="00DD2087"/>
    <w:rsid w:val="00DD508E"/>
    <w:rsid w:val="00DE1647"/>
    <w:rsid w:val="00DE7B9D"/>
    <w:rsid w:val="00DE7D28"/>
    <w:rsid w:val="00DF0BB9"/>
    <w:rsid w:val="00DF124F"/>
    <w:rsid w:val="00E073C8"/>
    <w:rsid w:val="00E125AC"/>
    <w:rsid w:val="00E129F4"/>
    <w:rsid w:val="00E15381"/>
    <w:rsid w:val="00E17E24"/>
    <w:rsid w:val="00E25D74"/>
    <w:rsid w:val="00E33355"/>
    <w:rsid w:val="00E340AE"/>
    <w:rsid w:val="00E34147"/>
    <w:rsid w:val="00E50F56"/>
    <w:rsid w:val="00E50F9C"/>
    <w:rsid w:val="00E53A79"/>
    <w:rsid w:val="00E56AB8"/>
    <w:rsid w:val="00E62D04"/>
    <w:rsid w:val="00E6741F"/>
    <w:rsid w:val="00E72BF5"/>
    <w:rsid w:val="00E73C32"/>
    <w:rsid w:val="00E803AC"/>
    <w:rsid w:val="00E807FA"/>
    <w:rsid w:val="00E92D1E"/>
    <w:rsid w:val="00EA3E65"/>
    <w:rsid w:val="00EB03F4"/>
    <w:rsid w:val="00EB0F97"/>
    <w:rsid w:val="00EB1C23"/>
    <w:rsid w:val="00EB2A2E"/>
    <w:rsid w:val="00EC3FBB"/>
    <w:rsid w:val="00EE3DEC"/>
    <w:rsid w:val="00EF245C"/>
    <w:rsid w:val="00EF6333"/>
    <w:rsid w:val="00EF78A2"/>
    <w:rsid w:val="00F01C00"/>
    <w:rsid w:val="00F12494"/>
    <w:rsid w:val="00F16A87"/>
    <w:rsid w:val="00F212E2"/>
    <w:rsid w:val="00F22FD6"/>
    <w:rsid w:val="00F257E1"/>
    <w:rsid w:val="00F36786"/>
    <w:rsid w:val="00F40242"/>
    <w:rsid w:val="00F438C6"/>
    <w:rsid w:val="00F44B0C"/>
    <w:rsid w:val="00F51A55"/>
    <w:rsid w:val="00F52D45"/>
    <w:rsid w:val="00F538B2"/>
    <w:rsid w:val="00F6583D"/>
    <w:rsid w:val="00F71E73"/>
    <w:rsid w:val="00F73271"/>
    <w:rsid w:val="00F77C36"/>
    <w:rsid w:val="00F92968"/>
    <w:rsid w:val="00F937D4"/>
    <w:rsid w:val="00FB7893"/>
    <w:rsid w:val="00FB7956"/>
    <w:rsid w:val="00FC0E73"/>
    <w:rsid w:val="00FC39A4"/>
    <w:rsid w:val="00FC64F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3356694-4C7A-4DB8-97B0-3941FE3F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12</Pages>
  <Words>4415</Words>
  <Characters>25166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29522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2018-01-16T17:27:00Z</cp:lastPrinted>
  <dcterms:created xsi:type="dcterms:W3CDTF">2018-01-31T15:42:00Z</dcterms:created>
  <dcterms:modified xsi:type="dcterms:W3CDTF">2018-01-31T15:42:00Z</dcterms:modified>
</cp:coreProperties>
</file>