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5B6481" w:rsidP="007500A3">
      <w:pPr>
        <w:jc w:val="center"/>
        <w:rPr>
          <w:b/>
          <w:sz w:val="28"/>
        </w:rPr>
      </w:pPr>
      <w:r>
        <w:rPr>
          <w:b/>
          <w:sz w:val="28"/>
        </w:rPr>
        <w:t>Critical Think</w:t>
      </w:r>
      <w:r w:rsidR="007500A3" w:rsidRPr="00526F7B">
        <w:rPr>
          <w:b/>
          <w:sz w:val="28"/>
        </w:rPr>
        <w:t>ing Training:</w:t>
      </w:r>
      <w:r w:rsidR="00EA3E65" w:rsidRPr="00526F7B">
        <w:rPr>
          <w:b/>
          <w:sz w:val="28"/>
        </w:rPr>
        <w:t xml:space="preserve"> </w:t>
      </w:r>
      <w:r w:rsidR="00E62D04" w:rsidRPr="00526F7B">
        <w:rPr>
          <w:b/>
          <w:sz w:val="28"/>
        </w:rPr>
        <w:br/>
      </w:r>
      <w:r w:rsidR="007500A3"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527868" w:rsidP="00527868">
      <w:pPr>
        <w:pStyle w:val="Heading1"/>
        <w:jc w:val="both"/>
      </w:pPr>
      <w:r w:rsidRPr="00527868">
        <w:rPr>
          <w:b w:val="0"/>
          <w:iCs/>
        </w:rPr>
        <w:t>Critical thinking is widely accepted as a requisite skill for successful military leaders. Today’s Department of Defense (DoD) leaders must prevent sudden assaults with preemptive parries and innovative defensive tactics. This requires a level of critical thinking and meta-cognition skills that the authors have not often observed in educational processes today. Effectively enhancing that skill set via various training techniques has a well-documented history, but the application of those techniques remains problematical for several reasons. The authors' past and current research is in the use of conversational on-line avatars in a number of contexts and in the use of distributed computing and simulation. The authors assert these capabilities can be used to address problems in critical thinking training. These capabilities propose a solution to global accessibility and continuous availability of this training for DoD personnel. A short review is offered of the need for critical thinking. A brief survey of effective critical thinking pedagogies is followed by an analysis of which would be most effectively adapted to the distributed computing avatar environment. This paper then discusses the distributed computing simulation capabilities that have been demonstrated and the emerging technologies enabling the delivery of engaging conversational avatars. These avatars are capable of carrying on life-like verbal exchanges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animated avatars vice using video clips of “live” personnel as the response vehicle for the conversation. The benefits of using an active, voice recognition-enabled dialogue instead of a text delivered didactic approach is given. The paper closes with how such a system could effectively serve the globally-dispersed and time-constrained DoD personnel.</w:t>
      </w: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xml:space="preserv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xml:space="preserve">.  His military service spanned three decades including 28 months in Viet Nam as a Marine Cryptologic Linguist.  His Naval service included tours in the Philippines, Thailand and Japan.  He also served as the Assistant Officer in Charge during the development of a highly technical project under the supervision of CNSG and SPAWAR and was instrumental in the interior design of the ES-3A Aircraft.  He made two deployments aboard an Allied Naval vessel as the lone area/target expert.  He has been at the </w:t>
      </w:r>
      <w:r w:rsidRPr="002C060C">
        <w:rPr>
          <w:bCs/>
        </w:rPr>
        <w:lastRenderedPageBreak/>
        <w:t>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5B6481" w:rsidP="00971F3D">
      <w:pPr>
        <w:jc w:val="center"/>
        <w:rPr>
          <w:b/>
          <w:sz w:val="28"/>
        </w:rPr>
      </w:pPr>
      <w:r>
        <w:rPr>
          <w:b/>
          <w:sz w:val="28"/>
        </w:rPr>
        <w:lastRenderedPageBreak/>
        <w:t>Critical Think</w:t>
      </w:r>
      <w:r w:rsidR="00971F3D" w:rsidRPr="00526F7B">
        <w:rPr>
          <w:b/>
          <w:sz w:val="28"/>
        </w:rPr>
        <w:t xml:space="preserve">ing Training: </w:t>
      </w:r>
      <w:r w:rsidR="00971F3D"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577930" w:rsidRDefault="00577930" w:rsidP="00577930">
      <w:pPr>
        <w:jc w:val="both"/>
      </w:pPr>
      <w:r>
        <w:t>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from both the authors’ personal research and insights arising out of their own military service and from the community at large.</w:t>
      </w:r>
    </w:p>
    <w:p w:rsidR="00577930" w:rsidRDefault="00577930" w:rsidP="00577930">
      <w:pPr>
        <w:jc w:val="both"/>
      </w:pPr>
    </w:p>
    <w:p w:rsidR="00577930" w:rsidRDefault="00577930" w:rsidP="00577930">
      <w:pPr>
        <w:jc w:val="both"/>
      </w:pPr>
      <w:r>
        <w:t>The paper will begin with the definition of terms that will be used. Examples from history emphasizing the necessity for critical thinking of leaders in the past and present will follow. Today’s daunting defense issues mandate redress by leaders equipped with critical thinking skills. The authors take the position that this would optimally be a training function. The barrier is that an already over- tasked and under-funded defense force hampers the adoption of these concepts. The advantages of computer-aided training will be laid out and the authors will high-light several existing and emerging technologies.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77930" w:rsidRPr="00577930" w:rsidRDefault="00577930" w:rsidP="00577930">
      <w:pPr>
        <w:pStyle w:val="CritThnHd"/>
        <w:rPr>
          <w:rFonts w:ascii="Times New Roman" w:eastAsia="Times New Roman" w:hAnsi="Times New Roman" w:cs="Times New Roman"/>
          <w:b w:val="0"/>
          <w:caps w:val="0"/>
          <w:sz w:val="20"/>
          <w:szCs w:val="20"/>
        </w:rPr>
      </w:pPr>
      <w:r w:rsidRPr="00577930">
        <w:rPr>
          <w:rFonts w:ascii="Times New Roman" w:eastAsia="Times New Roman" w:hAnsi="Times New Roman" w:cs="Times New Roman"/>
          <w:b w:val="0"/>
          <w:caps w:val="0"/>
          <w:sz w:val="20"/>
          <w:szCs w:val="20"/>
        </w:rPr>
        <w:t>In this paper, the term critical thinking refers to that intellectual process that is characterized by being purposeful, reasoned, and goal directed, while not being disrupted by emotion, prejudice, or mysticism. This process is invoked to solve problems, formulate inferences, calculate likelihoods, and make decisions. (Halpern, 1997) Critical thinking encompasses Col. John Boyd’s OODA Loop concept (Coram, 2002), which is analyzed.</w:t>
      </w:r>
    </w:p>
    <w:p w:rsidR="00577930" w:rsidRPr="00577930" w:rsidRDefault="00577930" w:rsidP="00577930">
      <w:pPr>
        <w:pStyle w:val="CritThnHd"/>
        <w:rPr>
          <w:rFonts w:ascii="Times New Roman" w:eastAsia="Times New Roman" w:hAnsi="Times New Roman" w:cs="Times New Roman"/>
          <w:b w:val="0"/>
          <w:caps w:val="0"/>
          <w:sz w:val="20"/>
          <w:szCs w:val="20"/>
        </w:rPr>
      </w:pPr>
      <w:r w:rsidRPr="00577930">
        <w:rPr>
          <w:rFonts w:ascii="Times New Roman" w:eastAsia="Times New Roman" w:hAnsi="Times New Roman" w:cs="Times New Roman"/>
          <w:b w:val="0"/>
          <w:caps w:val="0"/>
          <w:sz w:val="20"/>
          <w:szCs w:val="20"/>
        </w:rPr>
        <w:t>While the dichotomy between the fields of training and education is subject to discussion, it is the authors’ position that fostering and enhancing critical thinking is most amenable to training. That may be at odds with the notion that is suggested by the focus on the differing types of education thought to achieve these goals, e.g. the use of Socratic methods or constructivist approaches to education. The literature seems to support that a directed approach to training a set of steps for critical thinking will result in a more reliable inculcation of these skills in the target group. (Lehman &amp; Nisbett, 1990) Naturally, some researchers use different terms for this formal reasoning process.</w:t>
      </w:r>
    </w:p>
    <w:p w:rsidR="00577930" w:rsidRDefault="00577930" w:rsidP="00577930">
      <w:pPr>
        <w:pStyle w:val="CritThnHd"/>
        <w:rPr>
          <w:rFonts w:ascii="Times New Roman" w:eastAsia="Times New Roman" w:hAnsi="Times New Roman" w:cs="Times New Roman"/>
          <w:b w:val="0"/>
          <w:caps w:val="0"/>
          <w:sz w:val="20"/>
          <w:szCs w:val="20"/>
        </w:rPr>
      </w:pPr>
      <w:r w:rsidRPr="00577930">
        <w:rPr>
          <w:rFonts w:ascii="Times New Roman" w:eastAsia="Times New Roman" w:hAnsi="Times New Roman" w:cs="Times New Roman"/>
          <w:b w:val="0"/>
          <w:caps w:val="0"/>
          <w:sz w:val="20"/>
          <w:szCs w:val="20"/>
        </w:rP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77930">
        <w:rPr>
          <w:rFonts w:ascii="Times New Roman" w:eastAsia="Times New Roman" w:hAnsi="Times New Roman" w:cs="Times New Roman"/>
          <w:b w:val="0"/>
          <w:i/>
          <w:caps w:val="0"/>
          <w:sz w:val="20"/>
          <w:szCs w:val="20"/>
        </w:rPr>
        <w:t>et al.</w:t>
      </w:r>
      <w:r w:rsidRPr="00577930">
        <w:rPr>
          <w:rFonts w:ascii="Times New Roman" w:eastAsia="Times New Roman" w:hAnsi="Times New Roman" w:cs="Times New Roman"/>
          <w:b w:val="0"/>
          <w:caps w:val="0"/>
          <w:sz w:val="20"/>
          <w:szCs w:val="20"/>
        </w:rPr>
        <w:t>, 2010)</w:t>
      </w:r>
    </w:p>
    <w:p w:rsidR="00580987" w:rsidRPr="00526F7B" w:rsidRDefault="00580987" w:rsidP="00577930">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B4181E" w:rsidRDefault="00B4181E" w:rsidP="00B4181E">
      <w:pPr>
        <w:jc w:val="both"/>
      </w:pPr>
      <w:r>
        <w:t>Many assert that concern for critical thinking today is central to military effectiveness (Guillot, 2004). 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w:t>
      </w:r>
    </w:p>
    <w:p w:rsidR="00B4181E" w:rsidRDefault="00B4181E" w:rsidP="00B4181E">
      <w:pPr>
        <w:jc w:val="both"/>
      </w:pPr>
    </w:p>
    <w:p w:rsidR="00B4181E" w:rsidRDefault="00B4181E" w:rsidP="00B4181E">
      <w:pPr>
        <w:jc w:val="both"/>
      </w:pPr>
      <w:r>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B4181E" w:rsidRDefault="00B4181E" w:rsidP="00B4181E">
      <w:pPr>
        <w:jc w:val="both"/>
      </w:pPr>
    </w:p>
    <w:p w:rsidR="00B4181E" w:rsidRDefault="00B4181E" w:rsidP="00B4181E">
      <w:pPr>
        <w:jc w:val="both"/>
      </w:pPr>
      <w:r>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expenditures of life. (Bradley, 2000)</w:t>
      </w:r>
    </w:p>
    <w:p w:rsidR="00B4181E" w:rsidRDefault="00B4181E" w:rsidP="00B4181E">
      <w:pPr>
        <w:jc w:val="both"/>
      </w:pPr>
    </w:p>
    <w:p w:rsidR="00B4181E" w:rsidRDefault="00B4181E" w:rsidP="00B4181E">
      <w:pPr>
        <w:jc w:val="both"/>
      </w:pPr>
      <w:r>
        <w:t>After that war, the U.S. sought to offset the numerical superiority of the USSR with the destructive power of nuclear weapons and their intercontinental delivery using bombers and then missiles.  A second offset was effective in the</w:t>
      </w:r>
    </w:p>
    <w:p w:rsidR="00B4181E" w:rsidRDefault="00B4181E" w:rsidP="00B4181E">
      <w:pPr>
        <w:jc w:val="both"/>
      </w:pPr>
      <w:r>
        <w:t>U.S.</w:t>
      </w:r>
      <w:r>
        <w:tab/>
        <w:t>use of advanced technology to offset the reduced size of its defense forces in the post-Vietnam era. A third offset is now sought to defray the dangers posed by a new set of foes that are often asymmetric in their threat posture and by nation states that have their own technology capabilities. Like previous changes, this may drive the need for critical thinking deeper down into the command structure, making it necessary for even junior personnel.</w:t>
      </w:r>
    </w:p>
    <w:p w:rsidR="00B4181E" w:rsidRDefault="00B4181E" w:rsidP="00B4181E">
      <w:pPr>
        <w:jc w:val="both"/>
      </w:pPr>
    </w:p>
    <w:p w:rsidR="00B4181E" w:rsidRDefault="00B4181E" w:rsidP="00B4181E">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 The past is past; the situation today requires a new vision.</w:t>
      </w:r>
    </w:p>
    <w:p w:rsidR="00B4181E" w:rsidRDefault="00B4181E" w:rsidP="00B4181E">
      <w:pPr>
        <w:jc w:val="both"/>
      </w:pPr>
    </w:p>
    <w:p w:rsidR="00B4181E" w:rsidRDefault="00B4181E" w:rsidP="00B4181E">
      <w:pPr>
        <w:jc w:val="both"/>
      </w:pPr>
      <w:r>
        <w:t>More than one military leader has probably asked, "How do we develop thinking skills in tomorrow's leaders?" The answer has been stated in many ways. (Guillot, 2004) One senior enlisted warfighter defined it as,: “Quite simply stated, it is to encourage questions regarding specific instances and then use a bevy of ‘What if?’ scenarios to clarify the issue under contemplation.” Starting this process early in a military career is essential. The authors feel that there are two main areas of critical thinking:; context free and context dependent. Context dependent concerns only a specific circumstances and is usually the one with which those who are actively engaged will concern themselves.</w:t>
      </w:r>
    </w:p>
    <w:p w:rsidR="00B4181E" w:rsidRDefault="00B4181E" w:rsidP="00B4181E">
      <w:pPr>
        <w:jc w:val="both"/>
      </w:pPr>
    </w:p>
    <w:p w:rsidR="00B4181E" w:rsidRDefault="00B4181E" w:rsidP="00B4181E">
      <w:pPr>
        <w:jc w:val="both"/>
      </w:pPr>
      <w:r>
        <w:t>Context free covers a wide range of possibilities and concerns itself with the overall picture. As military personnel advance in pay grade, responsibility, and knowledge, they will and should transform to context free critical thinking, which will involve many different non specific subjects. In previous eras, Officers were mostly college educated while the majority of Enlisted Personnel were seldom educated beyond the high school level.</w:t>
      </w:r>
    </w:p>
    <w:p w:rsidR="00B4181E" w:rsidRDefault="00B4181E" w:rsidP="00B4181E">
      <w:pPr>
        <w:jc w:val="both"/>
      </w:pPr>
    </w:p>
    <w:p w:rsidR="00B4181E" w:rsidRDefault="00B4181E" w:rsidP="00B4181E">
      <w:pPr>
        <w:jc w:val="both"/>
      </w:pPr>
      <w:r>
        <w:t>Beginning somewhere in the 1980's, this was no longer the case. Educational levels increased virtually across the entire military sector. Jobs that once required mid- level (O-4/5) Officer supervision were now being handled by college educated Senior Enlisted personnel, which meant that their former tasks were now being performed by the next lower rank junior personnel. In some of the technical fields, detachments previously led by junior officers were now being led by senior sergeants and chief petty officers. E-6 level non-commissioned and petty officers were filling their billets of watch section chief and similar position. At the same time, the pressure on mid-grade enlisted personnel to earn associates and bachelor’s degrees was increasing. Military mentors are known to be advising senior enlisted personnel to seek at least an associate degree to document educational achievements in order to be competitive for advancement to E-7, 8 or 9. In many fields, it is not unusual to find non-commissioned officer’s (NCO’s) and Chief Petty Officer’s (CPO’s) with bachelor’s degrees.  Even post-graduate degrees are increasingly appearing in these ranks. A DoD study from 2015 found that nearly seven percent of enlisted personnel had bachelor’s degrees and one percent had post-graduate degrees. In a trend analysis, it was found that the number of bachelor’s degrees amongst the enlisted ranks had nearly doubled in a little more than a decade (DoD, 2015).</w:t>
      </w:r>
    </w:p>
    <w:p w:rsidR="00B4181E" w:rsidRDefault="00B4181E" w:rsidP="00B4181E">
      <w:pPr>
        <w:jc w:val="both"/>
      </w:pPr>
    </w:p>
    <w:p w:rsidR="00B4181E" w:rsidRDefault="00B4181E" w:rsidP="00B4181E">
      <w:pPr>
        <w:jc w:val="both"/>
      </w:pPr>
      <w:r>
        <w:t>One of the benefits of becoming proficient in the critical thinking process is that senior enlisted personnel may often have intimate knowledge about a certain task, where higher levels of command might not have. Anecdotally, the authors are familiar with one Chief Petty Officer who was assigned as the Assistant Officer In Charge to develop a new Battle Group Communications system which was loosely based on an existing Air Force program. During sea trials there were numerous problems retaining communications continuity with the airborne platform. After the computer programmers were unable to resolve the issue, the CPO and his operators were asked for input. The Navy personnel inquired of the developers if they had reprogrammed the positioning software to take into account the mobility of a Navy ship. The contractors had not realized the criticality of that requirement. It was pointed out that an Air Force base is a fixed point on the globe; Navy Ships are not stationary. Upon investigation, it was found that the system had been programmed with the coordinates for Pier 12 in Norfolk, VA, as the default, when the ship was actually off the coast of South America. Such critical thinking was not only expected of that CPO and his team, it was delivered when needed. This Navy team, made up of intelligence ratings, was trained in and practiced critical thinking as part of their profession.</w:t>
      </w:r>
    </w:p>
    <w:p w:rsidR="00B4181E" w:rsidRDefault="00B4181E" w:rsidP="00B4181E">
      <w:pPr>
        <w:jc w:val="both"/>
      </w:pPr>
    </w:p>
    <w:p w:rsidR="005D1B21" w:rsidRDefault="00B4181E" w:rsidP="00B4181E">
      <w:pPr>
        <w:jc w:val="both"/>
      </w:pPr>
      <w:r>
        <w:t>In considering the need for critical thinking today, the above observations should be coupled with the fact that senior enlisted personnel now brief many senior general and flag officers. These professionals need both the communications skills provided by higher education and they need to possess the critical thinking skills to be able to respond to fundamental and probing questions with germane and rational answers. It is the authors’ opinion that critical thinking is now vital to the U.S. Military, and will be increasingly so in the future. It can and must be learned.</w:t>
      </w:r>
    </w:p>
    <w:p w:rsidR="00B4181E" w:rsidRPr="00526F7B" w:rsidRDefault="00B4181E" w:rsidP="00B4181E">
      <w:pPr>
        <w:jc w:val="both"/>
      </w:pPr>
    </w:p>
    <w:p w:rsidR="00580987" w:rsidRPr="00526F7B" w:rsidRDefault="005B6481" w:rsidP="00580987">
      <w:pPr>
        <w:pStyle w:val="CritThnHd"/>
        <w:rPr>
          <w:rFonts w:ascii="Times New Roman" w:hAnsi="Times New Roman" w:cs="Times New Roman"/>
        </w:rPr>
      </w:pPr>
      <w:r>
        <w:rPr>
          <w:rFonts w:ascii="Times New Roman" w:hAnsi="Times New Roman" w:cs="Times New Roman"/>
        </w:rPr>
        <w:t>critical think</w:t>
      </w:r>
      <w:r w:rsidR="00580987" w:rsidRPr="00526F7B">
        <w:rPr>
          <w:rFonts w:ascii="Times New Roman" w:hAnsi="Times New Roman" w:cs="Times New Roman"/>
        </w:rPr>
        <w:t xml:space="preserve">ing Skills </w:t>
      </w:r>
      <w:r w:rsidR="005D1B21" w:rsidRPr="00526F7B">
        <w:rPr>
          <w:rFonts w:ascii="Times New Roman" w:hAnsi="Times New Roman" w:cs="Times New Roman"/>
        </w:rPr>
        <w:t>Training</w:t>
      </w:r>
    </w:p>
    <w:p w:rsidR="00B4181E" w:rsidRDefault="00B4181E" w:rsidP="00B4181E">
      <w:pPr>
        <w:jc w:val="both"/>
      </w:pPr>
      <w:r>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 Many feel that critical thinking can be taught, but some are skeptical. (Willingham, 2007)  From the literature, the authors have extracted three major ways in which the improvement of critical thinking is approached: 1) training a rubric  to  be  followed,  2)  forming  the  process  by  the  Socratic  Method,  and  3)  using  constructivist  methods emphasizing self-discovery. Many authors report using combinations of these three approaches. This paper does not have the space to resolve the varying benefits of the differing approaches, (Pither &amp; Soden, 2000) but will proceed on the assumption that the rubric training approach may be the most applicable to the defense environment, all the while leaving open the use of the other methods as may be appropriate. The authors experience is that training is more familiar to defense personnel and often faster than the more extended process of education.</w:t>
      </w:r>
    </w:p>
    <w:p w:rsidR="00B4181E" w:rsidRDefault="00B4181E" w:rsidP="00B4181E">
      <w:pPr>
        <w:jc w:val="both"/>
      </w:pPr>
    </w:p>
    <w:p w:rsidR="00B4181E" w:rsidRDefault="00B4181E" w:rsidP="00B4181E">
      <w:pPr>
        <w:jc w:val="both"/>
      </w:pPr>
      <w:r>
        <w:t>Many studies have found that rubric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et al.,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B4181E" w:rsidRDefault="00B4181E" w:rsidP="00B4181E">
      <w:pPr>
        <w:jc w:val="both"/>
      </w:pPr>
    </w:p>
    <w:p w:rsidR="00C45C09" w:rsidRDefault="00B4181E" w:rsidP="00B4181E">
      <w:pPr>
        <w:spacing w:after="120"/>
        <w:jc w:val="both"/>
      </w:pPr>
      <w:r>
        <w:t>There are literally volumes that have been written on the plethora of approaches to defining, enumerating, and teaching critical thinking. (Lai, 2011) Most of these analyses are not set in a military or defense environment, so, while illuminating, they should be considered insightful for the DoD leadership, but not be considered controlling. Given that caveat, there may be a preliminary consensus on the steps of the process from which a working model can be extracted. These may be something on the order of:</w:t>
      </w:r>
    </w:p>
    <w:tbl>
      <w:tblPr>
        <w:tblStyle w:val="TableGrid"/>
        <w:tblW w:w="819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4230"/>
      </w:tblGrid>
      <w:tr w:rsidR="00B4181E" w:rsidTr="00B4181E">
        <w:tc>
          <w:tcPr>
            <w:tcW w:w="3960" w:type="dxa"/>
          </w:tcPr>
          <w:p w:rsidR="00B4181E" w:rsidRPr="00526F7B" w:rsidRDefault="00B4181E" w:rsidP="001052EC">
            <w:pPr>
              <w:pStyle w:val="ListParagraph"/>
              <w:numPr>
                <w:ilvl w:val="0"/>
                <w:numId w:val="18"/>
              </w:numPr>
              <w:jc w:val="both"/>
            </w:pPr>
            <w:r w:rsidRPr="00526F7B">
              <w:t>Collecting data</w:t>
            </w:r>
          </w:p>
        </w:tc>
        <w:tc>
          <w:tcPr>
            <w:tcW w:w="4230" w:type="dxa"/>
          </w:tcPr>
          <w:p w:rsidR="00B4181E" w:rsidRDefault="00B4181E" w:rsidP="00B4181E">
            <w:pPr>
              <w:pStyle w:val="ListParagraph"/>
              <w:numPr>
                <w:ilvl w:val="0"/>
                <w:numId w:val="21"/>
              </w:numPr>
              <w:jc w:val="both"/>
            </w:pPr>
            <w:r w:rsidRPr="00526F7B">
              <w:t>Reviewing initial conclusions</w:t>
            </w:r>
          </w:p>
        </w:tc>
      </w:tr>
      <w:tr w:rsidR="00B4181E" w:rsidTr="00B4181E">
        <w:tc>
          <w:tcPr>
            <w:tcW w:w="3960" w:type="dxa"/>
          </w:tcPr>
          <w:p w:rsidR="00B4181E" w:rsidRPr="00526F7B" w:rsidRDefault="00B4181E" w:rsidP="001052EC">
            <w:pPr>
              <w:pStyle w:val="ListParagraph"/>
              <w:numPr>
                <w:ilvl w:val="0"/>
                <w:numId w:val="18"/>
              </w:numPr>
              <w:jc w:val="both"/>
            </w:pPr>
            <w:r w:rsidRPr="00526F7B">
              <w:t>Categorizing and analyzing</w:t>
            </w:r>
          </w:p>
        </w:tc>
        <w:tc>
          <w:tcPr>
            <w:tcW w:w="4230" w:type="dxa"/>
          </w:tcPr>
          <w:p w:rsidR="00B4181E" w:rsidRDefault="00B4181E" w:rsidP="00B4181E">
            <w:pPr>
              <w:pStyle w:val="ListParagraph"/>
              <w:numPr>
                <w:ilvl w:val="0"/>
                <w:numId w:val="21"/>
              </w:numPr>
              <w:jc w:val="both"/>
            </w:pPr>
            <w:r w:rsidRPr="00526F7B">
              <w:t>Combining ideas and expanding uses</w:t>
            </w:r>
          </w:p>
        </w:tc>
      </w:tr>
      <w:tr w:rsidR="00B4181E" w:rsidTr="00B4181E">
        <w:tc>
          <w:tcPr>
            <w:tcW w:w="3960" w:type="dxa"/>
          </w:tcPr>
          <w:p w:rsidR="00B4181E" w:rsidRPr="00526F7B" w:rsidRDefault="00B4181E" w:rsidP="001052EC">
            <w:pPr>
              <w:pStyle w:val="ListParagraph"/>
              <w:numPr>
                <w:ilvl w:val="0"/>
                <w:numId w:val="18"/>
              </w:numPr>
              <w:jc w:val="both"/>
            </w:pPr>
            <w:r w:rsidRPr="00526F7B">
              <w:t>Using the insights gained</w:t>
            </w:r>
          </w:p>
        </w:tc>
        <w:tc>
          <w:tcPr>
            <w:tcW w:w="4230" w:type="dxa"/>
          </w:tcPr>
          <w:p w:rsidR="00B4181E" w:rsidRDefault="00B4181E" w:rsidP="00B4181E">
            <w:pPr>
              <w:pStyle w:val="ListParagraph"/>
              <w:numPr>
                <w:ilvl w:val="0"/>
                <w:numId w:val="21"/>
              </w:numPr>
              <w:jc w:val="both"/>
            </w:pPr>
            <w:r w:rsidRPr="00526F7B">
              <w:t>Internalizing the high order concepts</w:t>
            </w:r>
          </w:p>
        </w:tc>
      </w:tr>
    </w:tbl>
    <w:p w:rsidR="00B4181E" w:rsidRPr="00526F7B" w:rsidRDefault="00B4181E" w:rsidP="00B4181E">
      <w:pPr>
        <w:jc w:val="both"/>
      </w:pPr>
    </w:p>
    <w:p w:rsidR="00C66C3B" w:rsidRDefault="00C66C3B" w:rsidP="00C66C3B">
      <w:pPr>
        <w:jc w:val="both"/>
      </w:pPr>
      <w:r>
        <w:lastRenderedPageBreak/>
        <w:t>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w:t>
      </w:r>
    </w:p>
    <w:p w:rsidR="00C66C3B" w:rsidRDefault="00C66C3B" w:rsidP="00C66C3B">
      <w:pPr>
        <w:jc w:val="both"/>
      </w:pPr>
    </w:p>
    <w:p w:rsidR="0057548A" w:rsidRPr="00526F7B" w:rsidRDefault="00C66C3B" w:rsidP="00C66C3B">
      <w:pPr>
        <w:spacing w:after="120"/>
        <w:jc w:val="both"/>
      </w:pPr>
      <w:r>
        <w:t>Teaching the critical thinking processes to students had been conducted via a wide range of educational techniques:</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C66C3B" w:rsidRDefault="00C66C3B" w:rsidP="00C66C3B">
      <w:pPr>
        <w:jc w:val="both"/>
      </w:pPr>
      <w:r>
        <w:t>Note that most of these imply or require the presence of a tutor or lecturer and some of the earlier cited studies on program efficacy note the instructor’s skill and personality play a major role in the success of the educational process. Transferring that process into the active-duty or reserve environment for defense personnel suffers from two major weaknesses: lack of sufficient qualified engaging instructors and inaccessibility of globally dispersed personnel, all of whom are likely to have immutable operations-schedule constraints. In these days of restricted funding, increasing the number of instructors or swelling the ranks to ease scheduling limitations are infeasible.</w:t>
      </w:r>
    </w:p>
    <w:p w:rsidR="00C66C3B" w:rsidRDefault="00C66C3B" w:rsidP="00C66C3B">
      <w:pPr>
        <w:jc w:val="both"/>
      </w:pPr>
    </w:p>
    <w:p w:rsidR="00580987" w:rsidRPr="00526F7B" w:rsidRDefault="00C66C3B" w:rsidP="00C66C3B">
      <w:pPr>
        <w:jc w:val="both"/>
      </w:pPr>
      <w:r>
        <w:t>Further, it has been observed that much of the enthusiasm students have for a particular topic is based on their relationship with the instructor. While there is some commonality as to preferences for instructors, there is also some variability; even the most popular professors have some students with whom they are not well matched. At least in major universities where there are classes with several sections, students have the option of finding a professor they like,  but the DoD rarely affords this choice to its personnel.</w:t>
      </w:r>
      <w:r w:rsidR="00580987" w:rsidRPr="00526F7B">
        <w:t xml:space="preserve">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C66C3B" w:rsidRPr="00C66C3B" w:rsidRDefault="00C66C3B" w:rsidP="00C66C3B">
      <w:pPr>
        <w:pStyle w:val="CritThnHd"/>
        <w:rPr>
          <w:rFonts w:ascii="Times New Roman" w:eastAsia="Times New Roman" w:hAnsi="Times New Roman" w:cs="Times New Roman"/>
          <w:b w:val="0"/>
          <w:caps w:val="0"/>
          <w:sz w:val="20"/>
          <w:szCs w:val="20"/>
        </w:rPr>
      </w:pPr>
      <w:r w:rsidRPr="00C66C3B">
        <w:rPr>
          <w:rFonts w:ascii="Times New Roman" w:eastAsia="Times New Roman" w:hAnsi="Times New Roman" w:cs="Times New Roman"/>
          <w:b w:val="0"/>
          <w:caps w:val="0"/>
          <w:sz w:val="20"/>
          <w:szCs w:val="20"/>
        </w:rPr>
        <w:t xml:space="preserve">The authors’ experience in DoD training and in computer-aided education supports their view that Computer Aided Education (CAE) can successfully overcome many of the inhibitions mentioned above. New advances in high performance computing, globally distributed computer communications, animated or video-captured avatars, natural language processing, and Human-Computer Interaction technologies can  effectively address all of these issues.  </w:t>
      </w:r>
    </w:p>
    <w:p w:rsidR="00C66C3B" w:rsidRPr="00C66C3B" w:rsidRDefault="00C66C3B" w:rsidP="00C66C3B">
      <w:pPr>
        <w:pStyle w:val="CritThnHd"/>
        <w:rPr>
          <w:rFonts w:ascii="Times New Roman" w:eastAsia="Times New Roman" w:hAnsi="Times New Roman" w:cs="Times New Roman"/>
          <w:b w:val="0"/>
          <w:caps w:val="0"/>
          <w:sz w:val="20"/>
          <w:szCs w:val="20"/>
        </w:rPr>
      </w:pPr>
    </w:p>
    <w:p w:rsidR="003A4EEC" w:rsidRPr="00526F7B" w:rsidRDefault="00D91DA8" w:rsidP="00C66C3B">
      <w:pPr>
        <w:jc w:val="both"/>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19.6pt;margin-top:99.5pt;width:165.75pt;height:149.35pt;z-index:251660288;mso-width-relative:margin;mso-height-relative:margin">
            <v:textbox style="mso-next-textbox:#_x0000_s1026">
              <w:txbxContent>
                <w:p w:rsidR="00257473" w:rsidRPr="00945EBA" w:rsidRDefault="00465689" w:rsidP="00257473">
                  <w:pPr>
                    <w:pStyle w:val="Caption"/>
                    <w:jc w:val="center"/>
                    <w:rPr>
                      <w:color w:val="auto"/>
                    </w:rPr>
                  </w:pPr>
                  <w:r w:rsidRPr="00465689">
                    <w:rPr>
                      <w:noProof/>
                    </w:rPr>
                    <w:drawing>
                      <wp:inline distT="0" distB="0" distL="0" distR="0">
                        <wp:extent cx="1782221" cy="1412383"/>
                        <wp:effectExtent l="57150" t="57150" r="65629" b="54467"/>
                        <wp:docPr id="2"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789270" cy="1417969"/>
                                </a:xfrm>
                                <a:prstGeom prst="rect">
                                  <a:avLst/>
                                </a:prstGeom>
                                <a:ln w="47625">
                                  <a:solidFill>
                                    <a:schemeClr val="bg2">
                                      <a:lumMod val="10000"/>
                                    </a:schemeClr>
                                  </a:solidFill>
                                </a:ln>
                              </pic:spPr>
                            </pic:pic>
                          </a:graphicData>
                        </a:graphic>
                      </wp:inline>
                    </w:drawing>
                  </w:r>
                  <w:r w:rsidR="00257473" w:rsidRPr="003A4EEC">
                    <w:t xml:space="preserve"> </w:t>
                  </w:r>
                  <w:r w:rsidR="00257473" w:rsidRPr="00945EBA">
                    <w:rPr>
                      <w:color w:val="auto"/>
                    </w:rPr>
                    <w:t xml:space="preserve">Figure </w:t>
                  </w:r>
                  <w:r w:rsidR="00D91DA8" w:rsidRPr="00945EBA">
                    <w:rPr>
                      <w:color w:val="auto"/>
                    </w:rPr>
                    <w:fldChar w:fldCharType="begin"/>
                  </w:r>
                  <w:r w:rsidR="00257473" w:rsidRPr="00945EBA">
                    <w:rPr>
                      <w:color w:val="auto"/>
                    </w:rPr>
                    <w:instrText xml:space="preserve"> SEQ Figure \* ARABIC </w:instrText>
                  </w:r>
                  <w:r w:rsidR="00D91DA8" w:rsidRPr="00945EBA">
                    <w:rPr>
                      <w:color w:val="auto"/>
                    </w:rPr>
                    <w:fldChar w:fldCharType="separate"/>
                  </w:r>
                  <w:r w:rsidR="00257473">
                    <w:rPr>
                      <w:noProof/>
                      <w:color w:val="auto"/>
                    </w:rPr>
                    <w:t>3</w:t>
                  </w:r>
                  <w:r w:rsidR="00D91DA8" w:rsidRPr="00945EBA">
                    <w:rPr>
                      <w:color w:val="auto"/>
                    </w:rPr>
                    <w:fldChar w:fldCharType="end"/>
                  </w:r>
                  <w:r w:rsidR="00257473" w:rsidRPr="00945EBA">
                    <w:rPr>
                      <w:color w:val="auto"/>
                    </w:rPr>
                    <w:t xml:space="preserve">- Video-taped Interview </w:t>
                  </w:r>
                  <w:r w:rsidR="00257473" w:rsidRPr="00945EBA">
                    <w:rPr>
                      <w:color w:val="auto"/>
                    </w:rPr>
                    <w:br/>
                    <w:t>Head and Shoulders on monitor</w:t>
                  </w:r>
                </w:p>
                <w:p w:rsidR="00257473" w:rsidRPr="00945EBA" w:rsidRDefault="00257473" w:rsidP="00257473">
                  <w:pPr>
                    <w:pStyle w:val="Caption"/>
                    <w:jc w:val="center"/>
                    <w:rPr>
                      <w:color w:val="auto"/>
                    </w:rPr>
                  </w:pPr>
                </w:p>
                <w:p w:rsidR="003A4EEC" w:rsidRDefault="003A4EEC"/>
              </w:txbxContent>
            </v:textbox>
            <w10:wrap type="square"/>
          </v:shape>
        </w:pict>
      </w:r>
      <w:r>
        <w:rPr>
          <w:noProof/>
          <w:lang w:eastAsia="zh-TW"/>
        </w:rPr>
        <w:pict>
          <v:shape id="_x0000_s1027" type="#_x0000_t202" style="position:absolute;left:0;text-align:left;margin-left:152.1pt;margin-top:99.5pt;width:167.7pt;height:149.45pt;z-index:251662336;mso-width-relative:margin;mso-height-relative:margin">
            <v:textbox style="mso-next-textbox:#_x0000_s1027">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D91DA8" w:rsidRPr="00945EBA">
                    <w:rPr>
                      <w:color w:val="auto"/>
                    </w:rPr>
                    <w:fldChar w:fldCharType="begin"/>
                  </w:r>
                  <w:r w:rsidRPr="00945EBA">
                    <w:rPr>
                      <w:color w:val="auto"/>
                    </w:rPr>
                    <w:instrText xml:space="preserve"> SEQ Figure \* ARABIC </w:instrText>
                  </w:r>
                  <w:r w:rsidR="00D91DA8" w:rsidRPr="00945EBA">
                    <w:rPr>
                      <w:color w:val="auto"/>
                    </w:rPr>
                    <w:fldChar w:fldCharType="separate"/>
                  </w:r>
                  <w:r w:rsidR="007E4DC6">
                    <w:rPr>
                      <w:noProof/>
                      <w:color w:val="auto"/>
                    </w:rPr>
                    <w:t>2</w:t>
                  </w:r>
                  <w:r w:rsidR="00D91DA8" w:rsidRPr="00945EBA">
                    <w:rPr>
                      <w:color w:val="auto"/>
                    </w:rPr>
                    <w:fldChar w:fldCharType="end"/>
                  </w:r>
                  <w:r w:rsidRPr="00945EBA">
                    <w:rPr>
                      <w:color w:val="auto"/>
                    </w:rPr>
                    <w:t xml:space="preserve"> - Video-taped Pinchas Gutter</w:t>
                  </w:r>
                  <w:r w:rsidRPr="00945EBA">
                    <w:rPr>
                      <w:color w:val="auto"/>
                    </w:rPr>
                    <w:br/>
                    <w:t xml:space="preserve">in </w:t>
                  </w:r>
                  <w:r w:rsidR="00BF1E56">
                    <w:rPr>
                      <w:color w:val="auto"/>
                    </w:rPr>
                    <w:t xml:space="preserve">a </w:t>
                  </w:r>
                  <w:r w:rsidRPr="00945EBA">
                    <w:rPr>
                      <w:color w:val="auto"/>
                    </w:rPr>
                    <w:t>Holographic classroom display</w:t>
                  </w:r>
                </w:p>
                <w:p w:rsidR="003A4EEC" w:rsidRDefault="003A4EEC"/>
              </w:txbxContent>
            </v:textbox>
            <w10:wrap type="square"/>
          </v:shape>
        </w:pict>
      </w:r>
      <w:r>
        <w:rPr>
          <w:noProof/>
          <w:lang w:eastAsia="zh-TW"/>
        </w:rPr>
        <w:pict>
          <v:shape id="_x0000_s1028" type="#_x0000_t202" style="position:absolute;left:0;text-align:left;margin-left:-11.2pt;margin-top:99.5pt;width:163.1pt;height:149.1pt;z-index:251664384;mso-width-relative:margin;mso-height-relative:margin">
            <v:textbox style="mso-next-textbox:#_x0000_s1028">
              <w:txbxContent>
                <w:p w:rsidR="003A4EEC" w:rsidRDefault="00465689" w:rsidP="003A4EEC">
                  <w:pPr>
                    <w:keepNext/>
                    <w:tabs>
                      <w:tab w:val="left" w:pos="1386"/>
                    </w:tabs>
                    <w:jc w:val="center"/>
                  </w:pPr>
                  <w:r w:rsidRPr="00465689">
                    <w:rPr>
                      <w:noProof/>
                    </w:rPr>
                    <w:drawing>
                      <wp:inline distT="0" distB="0" distL="0" distR="0">
                        <wp:extent cx="1876763" cy="1490525"/>
                        <wp:effectExtent l="19050" t="0" r="9187" b="0"/>
                        <wp:docPr id="6"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878965" cy="1492274"/>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D91DA8" w:rsidRPr="00945EBA">
                    <w:rPr>
                      <w:color w:val="auto"/>
                    </w:rPr>
                    <w:fldChar w:fldCharType="begin"/>
                  </w:r>
                  <w:r w:rsidRPr="00945EBA">
                    <w:rPr>
                      <w:color w:val="auto"/>
                    </w:rPr>
                    <w:instrText xml:space="preserve"> SEQ Figure \* ARABIC </w:instrText>
                  </w:r>
                  <w:r w:rsidR="00D91DA8" w:rsidRPr="00945EBA">
                    <w:rPr>
                      <w:color w:val="auto"/>
                    </w:rPr>
                    <w:fldChar w:fldCharType="separate"/>
                  </w:r>
                  <w:r w:rsidR="007E4DC6">
                    <w:rPr>
                      <w:noProof/>
                      <w:color w:val="auto"/>
                    </w:rPr>
                    <w:t>1</w:t>
                  </w:r>
                  <w:r w:rsidR="00D91DA8" w:rsidRPr="00945EBA">
                    <w:rPr>
                      <w:color w:val="auto"/>
                    </w:rPr>
                    <w:fldChar w:fldCharType="end"/>
                  </w:r>
                  <w:r w:rsidRPr="00945EBA">
                    <w:rPr>
                      <w:color w:val="auto"/>
                    </w:rPr>
                    <w:t xml:space="preserve"> - </w:t>
                  </w:r>
                  <w:r w:rsidR="00257473" w:rsidRPr="00945EBA">
                    <w:rPr>
                      <w:color w:val="auto"/>
                    </w:rPr>
                    <w:t xml:space="preserve">Fully Animated SimCoach </w:t>
                  </w:r>
                  <w:r w:rsidR="00257473" w:rsidRPr="00945EBA">
                    <w:rPr>
                      <w:color w:val="auto"/>
                    </w:rPr>
                    <w:br/>
                    <w:t xml:space="preserve">CGI with alternative characters </w:t>
                  </w:r>
                </w:p>
                <w:p w:rsidR="003A4EEC" w:rsidRDefault="003A4EEC"/>
              </w:txbxContent>
            </v:textbox>
            <w10:wrap type="square"/>
          </v:shape>
        </w:pict>
      </w:r>
      <w:r w:rsidR="00C66C3B" w:rsidRPr="00C66C3B">
        <w:t>A large portion of human communication becomes more compelling, more cogent and more comprehended if presented by a human, (EduNote, 2016) but the provision of humans is expensive and sometimes dangerous, e.g. sending instructional personnel into combat zones. Technologies conceived, developed, and  validated  at  the Institute of Creative Technologies have fielded very engaging and lifelike conversation computer interfaces. (Reger, et al., 2015) These make use of a wide range of computer capabilities to: input both typed and spoken words from the user, analyze that content, select the appropriate response to the input, then cue up and display the response on- screen so quickly that it accurately emulates the pace of a human-to-human conversation (ICT, 2015a). At ICT, three types of display are used to best communicate with different target audiences, see Figures 1, 2, and 3.</w:t>
      </w:r>
    </w:p>
    <w:p w:rsidR="00E73C32" w:rsidRPr="00526F7B" w:rsidRDefault="00E73C32" w:rsidP="00580987">
      <w:pPr>
        <w:jc w:val="both"/>
      </w:pPr>
    </w:p>
    <w:p w:rsidR="00580987" w:rsidRPr="00526F7B" w:rsidRDefault="00DD508E" w:rsidP="00580987">
      <w:pPr>
        <w:jc w:val="both"/>
      </w:pPr>
      <w:r w:rsidRPr="00DD508E">
        <w:t>If an animated avatar is used, the appearance of the avatar can easily be altered to present different ages, genders, ethnic appearance and social/military status. Once this capability is prepared, the avatar can be available to engage i</w:t>
      </w:r>
      <w:r>
        <w:t xml:space="preserve">n a “one-on-one” conversation, </w:t>
      </w:r>
      <w:r w:rsidRPr="00DD508E">
        <w:t>training critical thinking skills, with as many u</w:t>
      </w:r>
      <w:r>
        <w:t>sers as the servers can support</w:t>
      </w:r>
      <w:r w:rsidRPr="00DD508E">
        <w:t xml:space="preserve">  </w:t>
      </w:r>
      <w:r w:rsidRPr="00DD508E">
        <w:lastRenderedPageBreak/>
        <w:t>anywhere in the world there is</w:t>
      </w:r>
      <w:r>
        <w:t xml:space="preserve"> </w:t>
      </w:r>
      <w:r w:rsidR="00580987" w:rsidRPr="00526F7B">
        <w:t>network capability. Further, it can be provided at any time and is not seriously disrupted by unanticipat</w:t>
      </w:r>
      <w:r w:rsidR="00BF1E56">
        <w:t>ed breaks in instructional time.  It is</w:t>
      </w:r>
      <w:r w:rsidR="00580987" w:rsidRPr="00526F7B">
        <w:t xml:space="preserve">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DD508E" w:rsidRDefault="00DD508E" w:rsidP="00DD508E">
      <w:pPr>
        <w:jc w:val="both"/>
      </w:pPr>
      <w:r>
        <w:t>Spawning new avatars requires very little marginal costs, mostly some modest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retain interest of the user longer, and elicit more conversational input from the user. (ICT, 2015b)</w:t>
      </w:r>
    </w:p>
    <w:p w:rsidR="00DD508E" w:rsidRDefault="00DD508E" w:rsidP="00DD508E">
      <w:pPr>
        <w:jc w:val="both"/>
      </w:pPr>
    </w:p>
    <w:p w:rsidR="00DD508E" w:rsidRDefault="00DD508E" w:rsidP="00DD508E">
      <w:pPr>
        <w:jc w:val="both"/>
      </w:pPr>
      <w:r>
        <w:t>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any time. The authors have supported such efforts in the past and recognize both its potential and its hurdles e.g. speed of light induced latencies when server and client are separated on the order of five thousand miles. (Gottschalk et al., 2010) While this fielded system was designed to advance analysis and evaluation for the Joint Experimentation, many of the active duty participants who constituted the “red and blue forces” for the exercises lauded its training function. The authors observed the total immersion of the personnel in the “combat” on the screens and the enthusiasm with which the participants engaged in their duties. One post-exercise celebratory meal was nearly disrupted by a fist fight between the red force team and the blue force team until intercession by the academics present restored civility to the proceedings.</w:t>
      </w:r>
    </w:p>
    <w:p w:rsidR="00DD508E" w:rsidRDefault="00DD508E" w:rsidP="00DD508E">
      <w:pPr>
        <w:jc w:val="both"/>
      </w:pPr>
    </w:p>
    <w:p w:rsidR="005B6B1A" w:rsidRPr="00526F7B" w:rsidRDefault="00DD508E" w:rsidP="00DD508E">
      <w:pPr>
        <w:jc w:val="both"/>
      </w:pPr>
      <w:r>
        <w:t>The trans-continental capabilities of such exercises stand as solid evidence that a global network could reliably provide computer-aided training for critical thinking skills. Figure 4 below shows a notional diagram of the network for one of these exercises and it exhibited round trip latencies well under 500 milliseconds, which should be adequate for conversational flow. Operators in Virginia could access computer capabilities on Maui with no apparent loss of realism. There were some issues with use of pointing devices such as mice, as these are susceptible to operator issues with latencies even as short as half a second. The cursor would move on the local monitor, but the resultant impact on the image, controlled by the remote process, was a quarter second later. These issues were met by prepositioning interface data on local computers and caching of instructions. Conversational delays of this length are not uncommon in everyday speech, so should not raise the same concerns. During these tests, bandwidths were not a constraining factor during normal operations and training could be suspended if required if operations required.</w:t>
      </w:r>
    </w:p>
    <w:p w:rsidR="005B6B1A" w:rsidRPr="00526F7B" w:rsidRDefault="005B6B1A" w:rsidP="005B6B1A">
      <w:pPr>
        <w:keepNext/>
        <w:jc w:val="center"/>
      </w:pPr>
      <w:r w:rsidRPr="00526F7B">
        <w:rPr>
          <w:noProof/>
        </w:rPr>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A566D5">
      <w:pPr>
        <w:pStyle w:val="Caption"/>
        <w:jc w:val="center"/>
        <w:rPr>
          <w:color w:val="000000" w:themeColor="text1"/>
        </w:rPr>
      </w:pPr>
      <w:r w:rsidRPr="00526F7B">
        <w:rPr>
          <w:color w:val="000000" w:themeColor="text1"/>
        </w:rPr>
        <w:t xml:space="preserve">Figure </w:t>
      </w:r>
      <w:r w:rsidR="00D91DA8" w:rsidRPr="00526F7B">
        <w:rPr>
          <w:color w:val="000000" w:themeColor="text1"/>
        </w:rPr>
        <w:fldChar w:fldCharType="begin"/>
      </w:r>
      <w:r w:rsidRPr="00526F7B">
        <w:rPr>
          <w:color w:val="000000" w:themeColor="text1"/>
        </w:rPr>
        <w:instrText xml:space="preserve"> SEQ Figure \* ARABIC </w:instrText>
      </w:r>
      <w:r w:rsidR="00D91DA8" w:rsidRPr="00526F7B">
        <w:rPr>
          <w:color w:val="000000" w:themeColor="text1"/>
        </w:rPr>
        <w:fldChar w:fldCharType="separate"/>
      </w:r>
      <w:r w:rsidR="007E4DC6">
        <w:rPr>
          <w:noProof/>
          <w:color w:val="000000" w:themeColor="text1"/>
        </w:rPr>
        <w:t>4</w:t>
      </w:r>
      <w:r w:rsidR="00D91DA8" w:rsidRPr="00526F7B">
        <w:rPr>
          <w:color w:val="000000" w:themeColor="text1"/>
        </w:rPr>
        <w:fldChar w:fldCharType="end"/>
      </w:r>
      <w:r w:rsidRPr="00526F7B">
        <w:rPr>
          <w:color w:val="000000" w:themeColor="text1"/>
        </w:rPr>
        <w:t xml:space="preserve"> - USC-enabled Trans-continental Network Testbed</w:t>
      </w:r>
      <w:r w:rsidR="00A566D5">
        <w:rPr>
          <w:color w:val="000000" w:themeColor="text1"/>
        </w:rPr>
        <w:t xml:space="preserve">. </w:t>
      </w:r>
      <w:r w:rsidR="00A566D5">
        <w:rPr>
          <w:color w:val="000000" w:themeColor="text1"/>
        </w:rPr>
        <w:br/>
        <w:t>Maui to Virginia round trip latencies: 204 msec</w:t>
      </w:r>
    </w:p>
    <w:p w:rsidR="00580987" w:rsidRPr="00526F7B" w:rsidRDefault="00580987" w:rsidP="00580987">
      <w:pPr>
        <w:jc w:val="both"/>
      </w:pPr>
      <w:r w:rsidRPr="00526F7B">
        <w:lastRenderedPageBreak/>
        <w:t>Having this infrastructure advantage, the system could present a range of didactic techniques, ranging from pure lecture to interactive tutorial approaches. It could cover historical examples, long a favorite of military educators</w:t>
      </w:r>
      <w:r w:rsidR="00E34147">
        <w:t>,</w:t>
      </w:r>
      <w:r w:rsidRPr="00526F7B">
        <w:t xml:space="preserve">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w:t>
      </w:r>
      <w:r w:rsidR="00CC0272">
        <w:t>e outcomes would</w:t>
      </w:r>
      <w:r w:rsidRPr="00526F7B">
        <w:t xml:space="preserve"> be caveated with the warnings that they represent a stochastic representation of the world and outcomes will vary, as they do in real world situations (Wong, </w:t>
      </w:r>
      <w:r w:rsidRPr="00526F7B">
        <w:rPr>
          <w:i/>
        </w:rPr>
        <w:t>et al.</w:t>
      </w:r>
      <w:r w:rsidRPr="00526F7B">
        <w:t>, 2007). The major goal is to get the students to become engaged in the habit of continuously analyzing their thought processes and making corrections as the situation</w:t>
      </w:r>
      <w:r w:rsidR="00570A7A">
        <w:t>s</w:t>
      </w:r>
      <w:r w:rsidRPr="00526F7B">
        <w:t xml:space="preserve">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While there are a wide range of implementation approaches that would satisfy the primary goal of this initiative, the following approach will give some clarity to a future implementation of a new</w:t>
      </w:r>
      <w:r w:rsidR="00E34147">
        <w:t>,</w:t>
      </w:r>
      <w:r w:rsidRPr="00526F7B">
        <w:t xml:space="preserve"> globally accessible critical thinking enhancement system.  The individual technologies are available; implementation requires only system-engineering and careful execution by an experienced military</w:t>
      </w:r>
      <w:r w:rsidR="00E34147">
        <w:t>, industry</w:t>
      </w:r>
      <w:r w:rsidRPr="00526F7B">
        <w:t xml:space="preserve">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w:t>
      </w:r>
      <w:r w:rsidR="00570A7A">
        <w:t>T</w:t>
      </w:r>
      <w:r w:rsidRPr="00526F7B">
        <w:t>hough these are not</w:t>
      </w:r>
      <w:r w:rsidR="00570A7A">
        <w:t xml:space="preserve"> readily</w:t>
      </w:r>
      <w:r w:rsidRPr="00526F7B">
        <w:t xml:space="preserve"> available at all times in a single-teacher class room, the pedagogical styles offered to the learner in this system can span the entire spectrum, even, as the Dunns suggest, with the use of a single teacher or avatar.  </w:t>
      </w:r>
    </w:p>
    <w:p w:rsidR="00580987" w:rsidRPr="00526F7B" w:rsidRDefault="00786C4B" w:rsidP="00580987">
      <w:pPr>
        <w:jc w:val="both"/>
      </w:pPr>
      <w:r>
        <w:rPr>
          <w:noProof/>
        </w:rPr>
        <w:drawing>
          <wp:anchor distT="0" distB="0" distL="114300" distR="114300" simplePos="0" relativeHeight="251665408" behindDoc="0" locked="0" layoutInCell="1" allowOverlap="1">
            <wp:simplePos x="0" y="0"/>
            <wp:positionH relativeFrom="column">
              <wp:posOffset>3349625</wp:posOffset>
            </wp:positionH>
            <wp:positionV relativeFrom="paragraph">
              <wp:posOffset>103505</wp:posOffset>
            </wp:positionV>
            <wp:extent cx="2611120" cy="1846580"/>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2611120" cy="1846580"/>
                    </a:xfrm>
                    <a:prstGeom prst="rect">
                      <a:avLst/>
                    </a:prstGeom>
                    <a:noFill/>
                  </pic:spPr>
                </pic:pic>
              </a:graphicData>
            </a:graphic>
          </wp:anchor>
        </w:drawing>
      </w:r>
    </w:p>
    <w:p w:rsidR="00580987" w:rsidRDefault="00D91DA8" w:rsidP="00580987">
      <w:pPr>
        <w:jc w:val="both"/>
      </w:pPr>
      <w:r>
        <w:rPr>
          <w:noProof/>
        </w:rPr>
        <w:pict>
          <v:shape id="_x0000_s1031" type="#_x0000_t202" style="position:absolute;left:0;text-align:left;margin-left:248.3pt;margin-top:144.9pt;width:237.05pt;height:11.95pt;z-index:251667456" stroked="f">
            <v:textbox inset="0,0,0,0">
              <w:txbxContent>
                <w:p w:rsidR="00866FC2" w:rsidRPr="00786C4B" w:rsidRDefault="00866FC2" w:rsidP="00866FC2">
                  <w:pPr>
                    <w:pStyle w:val="Caption"/>
                    <w:jc w:val="center"/>
                    <w:rPr>
                      <w:noProof/>
                      <w:color w:val="auto"/>
                      <w:sz w:val="20"/>
                      <w:szCs w:val="20"/>
                    </w:rPr>
                  </w:pPr>
                  <w:r w:rsidRPr="00786C4B">
                    <w:rPr>
                      <w:color w:val="auto"/>
                    </w:rPr>
                    <w:t xml:space="preserve">Figure </w:t>
                  </w:r>
                  <w:r w:rsidR="00D91DA8" w:rsidRPr="00786C4B">
                    <w:rPr>
                      <w:color w:val="auto"/>
                    </w:rPr>
                    <w:fldChar w:fldCharType="begin"/>
                  </w:r>
                  <w:r w:rsidR="009F300B" w:rsidRPr="00786C4B">
                    <w:rPr>
                      <w:color w:val="auto"/>
                    </w:rPr>
                    <w:instrText xml:space="preserve"> SEQ Figure \* ARABIC </w:instrText>
                  </w:r>
                  <w:r w:rsidR="00D91DA8" w:rsidRPr="00786C4B">
                    <w:rPr>
                      <w:color w:val="auto"/>
                    </w:rPr>
                    <w:fldChar w:fldCharType="separate"/>
                  </w:r>
                  <w:r w:rsidR="007E4DC6">
                    <w:rPr>
                      <w:noProof/>
                      <w:color w:val="auto"/>
                    </w:rPr>
                    <w:t>5</w:t>
                  </w:r>
                  <w:r w:rsidR="00D91DA8" w:rsidRPr="00786C4B">
                    <w:rPr>
                      <w:color w:val="auto"/>
                    </w:rPr>
                    <w:fldChar w:fldCharType="end"/>
                  </w:r>
                  <w:r w:rsidR="00786C4B">
                    <w:rPr>
                      <w:color w:val="auto"/>
                    </w:rPr>
                    <w:t xml:space="preserve"> -A Present Day Setting </w:t>
                  </w:r>
                  <w:r w:rsidRPr="00786C4B">
                    <w:rPr>
                      <w:color w:val="auto"/>
                    </w:rPr>
                    <w:t>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00866FC2" w:rsidRPr="00526F7B">
        <w:t>hat is the most enticing</w:t>
      </w:r>
      <w:r w:rsidR="00580987" w:rsidRPr="00526F7B">
        <w:t xml:space="preserve">.  The impact of America’s Army on training was generated by the original entertainment value of the program, which had been developed as a recruiting tool, not a training program. Having a set of problems from different time periods </w:t>
      </w:r>
      <w:r w:rsidR="00580987" w:rsidRPr="00526F7B">
        <w:lastRenderedPageBreak/>
        <w:t xml:space="preserve">could go a long way to </w:t>
      </w:r>
      <w:r w:rsidR="00866FC2" w:rsidRPr="00526F7B">
        <w:t>retain users</w:t>
      </w:r>
      <w:r w:rsidR="00580987" w:rsidRPr="00526F7B">
        <w:t xml:space="preserve">. The </w:t>
      </w:r>
      <w:r w:rsidR="00570A7A">
        <w:t xml:space="preserve">historic </w:t>
      </w:r>
      <w:r w:rsidR="00580987" w:rsidRPr="00526F7B">
        <w:t xml:space="preserve">periods offered could be: classical, medieval, Napoleonic, U.S. Civil War, the World Wars, Vietnam and </w:t>
      </w:r>
      <w:r w:rsidR="00E34147">
        <w:t>Iraq/Afghanistan</w:t>
      </w:r>
      <w:r w:rsidR="00580987" w:rsidRPr="00526F7B">
        <w:t xml:space="preserve">. These would </w:t>
      </w:r>
      <w:r w:rsidR="00866FC2" w:rsidRPr="00526F7B">
        <w:t>offer</w:t>
      </w:r>
      <w:r w:rsidR="00580987" w:rsidRPr="00526F7B">
        <w:t xml:space="preserve"> attractive alternatives to personnel with diffe</w:t>
      </w:r>
      <w:r w:rsidR="008D4E4A" w:rsidRPr="00526F7B">
        <w:t>ring personal enthusiasms</w:t>
      </w:r>
      <w:r w:rsidR="00866FC2" w:rsidRPr="00526F7B">
        <w:t xml:space="preserve"> including a “Present Day”</w:t>
      </w:r>
      <w:r w:rsidR="00526F7B">
        <w:t xml:space="preserve"> or future</w:t>
      </w:r>
      <w:r w:rsidR="00866FC2"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w:t>
      </w:r>
      <w:r w:rsidR="00570A7A">
        <w:t>for</w:t>
      </w:r>
      <w:r w:rsidRPr="00526F7B">
        <w:t xml:space="preserve">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w:t>
      </w:r>
      <w:r w:rsidR="005B7EB5">
        <w:t>arguably</w:t>
      </w:r>
      <w:r w:rsidRPr="00526F7B">
        <w:t xml:space="preserve">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to provide the seamless interface needed for conversational fluidity.  Previous research has indicate</w:t>
      </w:r>
      <w:r w:rsidR="00570A7A">
        <w:t xml:space="preserve">d that a response repository </w:t>
      </w:r>
      <w:r w:rsidR="00256D8E">
        <w:t xml:space="preserve">of </w:t>
      </w:r>
      <w:r w:rsidR="00256D8E" w:rsidRPr="00526F7B">
        <w:t>five</w:t>
      </w:r>
      <w:r w:rsidRPr="00526F7B">
        <w:t xml:space="preserve"> hundred to fifteen hundred responses is hardly ever stumped by a user.  Considering the</w:t>
      </w:r>
      <w:r w:rsidR="00570A7A">
        <w:t xml:space="preserve"> parameters envisioned,</w:t>
      </w:r>
      <w:r w:rsidR="00570A7A" w:rsidRPr="00570A7A">
        <w:t xml:space="preserve"> </w:t>
      </w:r>
      <w:r w:rsidR="00570A7A" w:rsidRPr="00526F7B">
        <w:t>historical period, command level, skill issues, and ground or sea</w:t>
      </w:r>
      <w:r w:rsidR="00570A7A">
        <w:t xml:space="preserve">, one would have a </w:t>
      </w:r>
      <w:r w:rsidR="00570A7A" w:rsidRPr="00526F7B">
        <w:t>matrix</w:t>
      </w:r>
      <w:r w:rsidR="002508B9">
        <w:t xml:space="preserve"> where</w:t>
      </w:r>
      <w:r w:rsidR="00570A7A" w:rsidRPr="00526F7B">
        <w:t xml:space="preserve"> there are 720 </w:t>
      </w:r>
      <w:r w:rsidR="002508B9">
        <w:t>possible variants,</w:t>
      </w:r>
      <w:r w:rsidRPr="00526F7B">
        <w:t xml:space="preserve"> eight by nine by five by two</w:t>
      </w:r>
      <w:r w:rsidR="002508B9">
        <w:t>.</w:t>
      </w:r>
      <w:r w:rsidRPr="00526F7B">
        <w:t xml:space="preserve">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r w:rsidR="002508B9">
        <w:t xml:space="preserve">  Picking the most compelling respondents and populating the response database is too lengthy to be covered here, but an analogous effort has submitted a paper at this </w:t>
      </w:r>
      <w:r w:rsidR="00256D8E">
        <w:t>conference</w:t>
      </w:r>
      <w:r w:rsidR="002508B9">
        <w:t xml:space="preserve"> which goes into some detail concerning those factors (Nye, </w:t>
      </w:r>
      <w:r w:rsidR="002508B9" w:rsidRPr="002508B9">
        <w:rPr>
          <w:i/>
        </w:rPr>
        <w:t>et al</w:t>
      </w:r>
      <w:r w:rsidR="002508B9">
        <w:t>., 2017)</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t>
      </w:r>
      <w:r w:rsidR="005B7EB5">
        <w:t>could be designed</w:t>
      </w:r>
      <w:r w:rsidRPr="00526F7B">
        <w:t xml:space="preserve"> to carefully monitor the initial skill-level of the user, assess their progress, correlate advancement with program content, modify approach or pacing, and </w:t>
      </w:r>
      <w:r w:rsidR="005B7EB5">
        <w:t xml:space="preserve">then </w:t>
      </w:r>
      <w:r w:rsidRPr="00526F7B">
        <w:t xml:space="preserve">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While the initial effort would be directed to producing a small portion of the system for test and evaluation purposes, should the system be selected for global distribution, the issue of speed of light/network latencies again becomes critical (Davis</w:t>
      </w:r>
      <w:r w:rsidR="005B7EB5">
        <w:t xml:space="preserve"> </w:t>
      </w:r>
      <w:r w:rsidR="005B7EB5" w:rsidRPr="005B7EB5">
        <w:rPr>
          <w:i/>
        </w:rPr>
        <w:t>et al</w:t>
      </w:r>
      <w:r w:rsidR="005B7EB5">
        <w:t>.</w:t>
      </w:r>
      <w:r w:rsidRPr="00526F7B">
        <w:t xml:space="preserve">,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w:t>
      </w:r>
      <w:r w:rsidR="005B7EB5">
        <w:t>four</w:t>
      </w:r>
      <w:r w:rsidRPr="00526F7B">
        <w:t xml:space="preserve">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w:t>
      </w:r>
      <w:r w:rsidR="002508B9">
        <w:t>. This technique could be used if bandwidth constraints are more of a hurdle than anticipated</w:t>
      </w:r>
      <w:r w:rsidRPr="00526F7B">
        <w:t xml:space="preserve">.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w:t>
      </w:r>
      <w:r w:rsidR="005B7EB5">
        <w:t>and often suspicious of</w:t>
      </w:r>
      <w:r w:rsidRPr="00526F7B">
        <w:t xml:space="preserve"> technology, </w:t>
      </w:r>
      <w:r w:rsidR="005B7EB5">
        <w:t>some may say that</w:t>
      </w:r>
      <w:r w:rsidRPr="00526F7B">
        <w:t xml:space="preserve"> conversation</w:t>
      </w:r>
      <w:r w:rsidR="005B7EB5">
        <w:t>s</w:t>
      </w:r>
      <w:r w:rsidRPr="00526F7B">
        <w:t xml:space="preserve"> with avatars cannot possibly create the same trust and interest </w:t>
      </w:r>
      <w:r w:rsidR="00DF0BB9">
        <w:t>as</w:t>
      </w:r>
      <w:r w:rsidRPr="00526F7B">
        <w:t xml:space="preserve"> human conversation</w:t>
      </w:r>
      <w:r w:rsidR="005B7EB5">
        <w:t>s</w:t>
      </w:r>
      <w:r w:rsidRPr="00526F7B">
        <w:t xml:space="preserve">. This claim does hold some merit, and it is often the case during the initial interaction of new </w:t>
      </w:r>
      <w:r w:rsidRPr="00526F7B">
        <w:lastRenderedPageBreak/>
        <w:t xml:space="preserve">technologies that the user feels out of place and thrown off by the experience. However, once the user grows accustomed to the </w:t>
      </w:r>
      <w:r w:rsidR="004E0F35">
        <w:t>change</w:t>
      </w:r>
      <w:r w:rsidRPr="00526F7B">
        <w:t xml:space="preserve">,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D91DA8" w:rsidRPr="00526F7B">
        <w:rPr>
          <w:color w:val="auto"/>
        </w:rPr>
        <w:fldChar w:fldCharType="begin"/>
      </w:r>
      <w:r w:rsidRPr="00526F7B">
        <w:rPr>
          <w:color w:val="auto"/>
        </w:rPr>
        <w:instrText xml:space="preserve"> SEQ Table \* ARABIC </w:instrText>
      </w:r>
      <w:r w:rsidR="00D91DA8" w:rsidRPr="00526F7B">
        <w:rPr>
          <w:color w:val="auto"/>
        </w:rPr>
        <w:fldChar w:fldCharType="separate"/>
      </w:r>
      <w:r w:rsidR="007E4DC6">
        <w:rPr>
          <w:noProof/>
          <w:color w:val="auto"/>
        </w:rPr>
        <w:t>1</w:t>
      </w:r>
      <w:r w:rsidR="00D91DA8"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004E0F35">
        <w:t>(ASR) may render</w:t>
      </w:r>
      <w:r w:rsidRPr="00526F7B">
        <w:t xml:space="preserve"> successful virtual human interaction ineffective. The merit for this concern is that if a system does not understand </w:t>
      </w:r>
      <w:r w:rsidR="004E0F35">
        <w:t>a</w:t>
      </w:r>
      <w:r w:rsidRPr="00526F7B">
        <w:t xml:space="preserve">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w:t>
      </w:r>
      <w:r w:rsidR="004E0F35">
        <w:t>ong as it is not completely off-</w:t>
      </w:r>
      <w:r w:rsidRPr="00526F7B">
        <w:t xml:space="preserve">base, the answer will likely satisfy the user. It is unlikely that the voice recognition entirely misinterprets user input, and with even limited context, the classifier can provide appropriate feedback. </w:t>
      </w:r>
      <w:r w:rsidR="004E0F35">
        <w:t>Third, even in live speech, misunderstanding is common</w:t>
      </w:r>
    </w:p>
    <w:p w:rsidR="00255631" w:rsidRPr="00526F7B" w:rsidRDefault="00255631" w:rsidP="00463055">
      <w:pPr>
        <w:jc w:val="both"/>
      </w:pPr>
    </w:p>
    <w:p w:rsidR="00463055" w:rsidRPr="00526F7B" w:rsidRDefault="00463055" w:rsidP="00463055">
      <w:pPr>
        <w:jc w:val="both"/>
      </w:pPr>
      <w:r w:rsidRPr="00526F7B">
        <w:t xml:space="preserve">Because such classifiers determine the probabilities that each response matches the given input, </w:t>
      </w:r>
      <w:r w:rsidR="004E0F35">
        <w:t>avoiding answers recently given</w:t>
      </w:r>
      <w:r w:rsidRPr="00526F7B">
        <w:t xml:space="preserve">, the system will still determine a reasonable match based on the information </w:t>
      </w:r>
      <w:r w:rsidR="00DF0BB9">
        <w:t>available</w:t>
      </w:r>
      <w:r w:rsidRPr="00526F7B">
        <w:t>. As such, even limited recognition results in somewhat suitable responses, which illustrate to the user t</w:t>
      </w:r>
      <w:r w:rsidR="00F257E1">
        <w:t>hat the system did generally</w:t>
      </w:r>
      <w:r w:rsidRPr="00526F7B">
        <w:t xml:space="preserv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w:t>
      </w:r>
      <w:r w:rsidRPr="00526F7B">
        <w:lastRenderedPageBreak/>
        <w:t>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The authors’ vision of the operation of such a system is certain to evolve significantly as subject matter experts provide input and as development progresses.  Nevertheless, it may be useful to outline the curre</w:t>
      </w:r>
      <w:r w:rsidR="00F257E1">
        <w:t>nt vision as it is perceived in 2017</w:t>
      </w:r>
      <w:r w:rsidRPr="00526F7B">
        <w:t xml:space="preserve">.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substantial introductory exposition of </w:t>
      </w:r>
      <w:r w:rsidR="005B6481">
        <w:t>critical think</w:t>
      </w:r>
      <w:r w:rsidRPr="00526F7B">
        <w:t xml:space="preserve">ing concepts, the users would receive the first of a series of modules designed to highlight and improve individual skills needed for </w:t>
      </w:r>
      <w:r w:rsidR="005B6481">
        <w:t>critical think</w:t>
      </w:r>
      <w:r w:rsidRPr="00526F7B">
        <w:t>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w:t>
      </w:r>
      <w:r w:rsidR="00F257E1">
        <w:t xml:space="preserve"> “personal”</w:t>
      </w:r>
      <w:r w:rsidRPr="00526F7B">
        <w:t xml:space="preserve"> characteristics defined by the users or by higher authority.  Should this proce</w:t>
      </w:r>
      <w:r w:rsidR="00DF0BB9">
        <w:t>ss suggest the need</w:t>
      </w:r>
      <w:r w:rsidRPr="00526F7B">
        <w:t xml:space="preserv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Navy Div</w:t>
      </w:r>
      <w:r w:rsidR="002508B9">
        <w:t xml:space="preserve">ision </w:t>
      </w:r>
      <w:r w:rsidRPr="00526F7B">
        <w:t>Off</w:t>
      </w:r>
      <w:r w:rsidR="002508B9">
        <w:t>icer</w:t>
      </w:r>
      <w:r w:rsidRPr="00526F7B">
        <w:t xml:space="preserve"> and C</w:t>
      </w:r>
      <w:r w:rsidR="002508B9">
        <w:t xml:space="preserve">ommanding </w:t>
      </w:r>
      <w:r w:rsidRPr="00526F7B">
        <w:t>O</w:t>
      </w:r>
      <w:r w:rsidR="002508B9">
        <w:t>fficer</w:t>
      </w:r>
      <w:r w:rsidRPr="00526F7B">
        <w:t xml:space="preserve">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lastRenderedPageBreak/>
        <w:t>Using the aforementioned deep learning algorithms, the system would continuously seek out</w:t>
      </w:r>
      <w:r w:rsidR="00F257E1">
        <w:t xml:space="preserve"> any emerging nexus</w:t>
      </w:r>
      <w:r w:rsidRPr="00526F7B">
        <w:t xml:space="preserve">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niques (Oh &amp; Jung, 2004). Assuming deep learning extensibility to behavior recognition and trend isolation, attention to hardware support should</w:t>
      </w:r>
      <w:r w:rsidR="00DF0BB9">
        <w:t xml:space="preserve"> be</w:t>
      </w:r>
      <w:r w:rsidRPr="00526F7B">
        <w:t xml:space="preserve">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w:t>
      </w:r>
      <w:r w:rsidR="0016229C">
        <w:t>ther cultures. Among these are</w:t>
      </w:r>
      <w:r w:rsidRPr="00526F7B">
        <w:t xml:space="preserve">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w:t>
      </w:r>
      <w:r w:rsidR="005B6481">
        <w:rPr>
          <w:rFonts w:ascii="Times New Roman" w:hAnsi="Times New Roman" w:cs="Times New Roman"/>
        </w:rPr>
        <w:t>critical think</w:t>
      </w:r>
      <w:r w:rsidRPr="00B70367">
        <w:rPr>
          <w:rFonts w:ascii="Times New Roman" w:hAnsi="Times New Roman" w:cs="Times New Roman"/>
        </w:rPr>
        <w:t xml:space="preserve">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r w:rsidRPr="00F257E1">
        <w:rPr>
          <w:rFonts w:ascii="Times New Roman" w:hAnsi="Times New Roman" w:cs="Times New Roman"/>
        </w:rPr>
        <w:t>https://www.khanacademy.org/</w:t>
      </w:r>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2016.,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r w:rsidR="00580EB1" w:rsidRPr="00F257E1">
        <w:rPr>
          <w:rFonts w:ascii="Times New Roman" w:hAnsi="Times New Roman" w:cs="Times New Roman"/>
        </w:rPr>
        <w:t>http://blog-archive.griddynamics.com/2016/01/automatic-speech-recognition-services.html</w:t>
      </w:r>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2508B9" w:rsidRPr="00526F7B" w:rsidRDefault="002508B9" w:rsidP="00580EB1">
      <w:pPr>
        <w:pStyle w:val="CritThnRef"/>
        <w:rPr>
          <w:rFonts w:ascii="Times New Roman" w:hAnsi="Times New Roman" w:cs="Times New Roman"/>
        </w:rPr>
      </w:pPr>
      <w:r w:rsidRPr="002508B9">
        <w:rPr>
          <w:rFonts w:ascii="Times New Roman" w:hAnsi="Times New Roman" w:cs="Times New Roman"/>
        </w:rPr>
        <w:t xml:space="preserve">Nye, B., Swartout, W., Campbell, J., Krishnamachari, M., Kaimakis, N. and Davis, D. (2017, Pending). "MentorPal: Interactive Virtual Mentors Based on Real -Life STEM Professionals ."  in the </w:t>
      </w:r>
      <w:r w:rsidRPr="002508B9">
        <w:rPr>
          <w:rFonts w:ascii="Times New Roman" w:hAnsi="Times New Roman" w:cs="Times New Roman"/>
          <w:i/>
        </w:rPr>
        <w:t>Proceedings of the Interservice/Industry Simulation, Training and Education Conference</w:t>
      </w:r>
      <w:r w:rsidRPr="002508B9">
        <w:rPr>
          <w:rFonts w:ascii="Times New Roman" w:hAnsi="Times New Roman" w:cs="Times New Roman"/>
        </w:rPr>
        <w:t>, Orlando, Florida, 2017</w:t>
      </w:r>
      <w:r>
        <w:rPr>
          <w:rFonts w:ascii="Times New Roman" w:hAnsi="Times New Roman" w:cs="Times New Roman"/>
        </w:rPr>
        <w:t>, if not published, a copy can be obtained from the authors of this paper.</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r w:rsidRPr="00D15856">
        <w:rPr>
          <w:rFonts w:ascii="Times New Roman" w:hAnsi="Times New Roman" w:cs="Times New Roman"/>
        </w:rPr>
        <w:t>Pithers, R. T.</w:t>
      </w:r>
      <w:r>
        <w:rPr>
          <w:rFonts w:ascii="Times New Roman" w:hAnsi="Times New Roman" w:cs="Times New Roman"/>
        </w:rPr>
        <w:t xml:space="preserve">, &amp; Soden, R. (2000). </w:t>
      </w:r>
      <w:r w:rsidR="005B6481">
        <w:rPr>
          <w:rFonts w:ascii="Times New Roman" w:hAnsi="Times New Roman" w:cs="Times New Roman"/>
        </w:rPr>
        <w:t>critical think</w:t>
      </w:r>
      <w:r w:rsidRPr="00D15856">
        <w:rPr>
          <w:rFonts w:ascii="Times New Roman" w:hAnsi="Times New Roman" w:cs="Times New Roman"/>
        </w:rPr>
        <w:t xml:space="preserve">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r w:rsidR="000A1DE4" w:rsidRPr="00F257E1">
        <w:rPr>
          <w:rFonts w:ascii="Times New Roman" w:hAnsi="Times New Roman" w:cs="Times New Roman"/>
        </w:rPr>
        <w:t>https://books.google.com/books?id=4iIZx9QohXIC&amp;printsec</w:t>
      </w:r>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C45C09" w:rsidRPr="00526F7B" w:rsidRDefault="00C45C09" w:rsidP="00580987">
      <w:pPr>
        <w:pStyle w:val="CritThnRef"/>
        <w:rPr>
          <w:rFonts w:ascii="Times New Roman" w:hAnsi="Times New Roman" w:cs="Times New Roman"/>
        </w:rPr>
      </w:pPr>
      <w:r w:rsidRPr="00C45C09">
        <w:rPr>
          <w:rFonts w:ascii="Times New Roman" w:hAnsi="Times New Roman" w:cs="Times New Roman"/>
        </w:rPr>
        <w:t>Will</w:t>
      </w:r>
      <w:r>
        <w:rPr>
          <w:rFonts w:ascii="Times New Roman" w:hAnsi="Times New Roman" w:cs="Times New Roman"/>
        </w:rPr>
        <w:t xml:space="preserve">ingham, D. T. (2007). </w:t>
      </w:r>
      <w:r w:rsidR="005B6481">
        <w:rPr>
          <w:rFonts w:ascii="Times New Roman" w:hAnsi="Times New Roman" w:cs="Times New Roman"/>
        </w:rPr>
        <w:t>critical think</w:t>
      </w:r>
      <w:r w:rsidRPr="00C45C09">
        <w:rPr>
          <w:rFonts w:ascii="Times New Roman" w:hAnsi="Times New Roman" w:cs="Times New Roman"/>
        </w:rPr>
        <w:t xml:space="preserve">ing.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Wong, W. L., Shen, C., Nocera, L., Carriazo, E., Tang, F., Bugga, S., ...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19"/>
      <w:footerReference w:type="default" r:id="rId20"/>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D1E" w:rsidRDefault="00E92D1E">
      <w:r>
        <w:separator/>
      </w:r>
    </w:p>
  </w:endnote>
  <w:endnote w:type="continuationSeparator" w:id="0">
    <w:p w:rsidR="00E92D1E" w:rsidRDefault="00E92D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D91DA8">
      <w:rPr>
        <w:i/>
        <w:snapToGrid w:val="0"/>
        <w:sz w:val="18"/>
        <w:szCs w:val="18"/>
      </w:rPr>
      <w:fldChar w:fldCharType="begin"/>
    </w:r>
    <w:r>
      <w:rPr>
        <w:i/>
        <w:snapToGrid w:val="0"/>
        <w:sz w:val="18"/>
        <w:szCs w:val="18"/>
      </w:rPr>
      <w:instrText xml:space="preserve"> PAGE </w:instrText>
    </w:r>
    <w:r w:rsidR="00D91DA8">
      <w:rPr>
        <w:i/>
        <w:snapToGrid w:val="0"/>
        <w:sz w:val="18"/>
        <w:szCs w:val="18"/>
      </w:rPr>
      <w:fldChar w:fldCharType="separate"/>
    </w:r>
    <w:r w:rsidR="00256D8E">
      <w:rPr>
        <w:i/>
        <w:noProof/>
        <w:snapToGrid w:val="0"/>
        <w:sz w:val="18"/>
        <w:szCs w:val="18"/>
      </w:rPr>
      <w:t>1</w:t>
    </w:r>
    <w:r w:rsidR="00D91DA8">
      <w:rPr>
        <w:i/>
        <w:snapToGrid w:val="0"/>
        <w:sz w:val="18"/>
        <w:szCs w:val="18"/>
      </w:rPr>
      <w:fldChar w:fldCharType="end"/>
    </w:r>
    <w:r>
      <w:rPr>
        <w:i/>
        <w:snapToGrid w:val="0"/>
        <w:sz w:val="18"/>
        <w:szCs w:val="18"/>
      </w:rPr>
      <w:t xml:space="preserve"> of </w:t>
    </w:r>
    <w:r w:rsidR="00D91DA8">
      <w:rPr>
        <w:i/>
        <w:snapToGrid w:val="0"/>
        <w:sz w:val="18"/>
        <w:szCs w:val="18"/>
      </w:rPr>
      <w:fldChar w:fldCharType="begin"/>
    </w:r>
    <w:r>
      <w:rPr>
        <w:i/>
        <w:snapToGrid w:val="0"/>
        <w:sz w:val="18"/>
        <w:szCs w:val="18"/>
      </w:rPr>
      <w:instrText xml:space="preserve"> NUMPAGES </w:instrText>
    </w:r>
    <w:r w:rsidR="00D91DA8">
      <w:rPr>
        <w:i/>
        <w:snapToGrid w:val="0"/>
        <w:sz w:val="18"/>
        <w:szCs w:val="18"/>
      </w:rPr>
      <w:fldChar w:fldCharType="separate"/>
    </w:r>
    <w:r w:rsidR="00256D8E">
      <w:rPr>
        <w:i/>
        <w:noProof/>
        <w:snapToGrid w:val="0"/>
        <w:sz w:val="18"/>
        <w:szCs w:val="18"/>
      </w:rPr>
      <w:t>14</w:t>
    </w:r>
    <w:r w:rsidR="00D91DA8">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D91DA8">
      <w:rPr>
        <w:i/>
        <w:snapToGrid w:val="0"/>
        <w:sz w:val="18"/>
        <w:szCs w:val="18"/>
      </w:rPr>
      <w:fldChar w:fldCharType="begin"/>
    </w:r>
    <w:r w:rsidR="000A1DE4">
      <w:rPr>
        <w:i/>
        <w:snapToGrid w:val="0"/>
        <w:sz w:val="18"/>
        <w:szCs w:val="18"/>
      </w:rPr>
      <w:instrText xml:space="preserve"> PAGE </w:instrText>
    </w:r>
    <w:r w:rsidR="00D91DA8">
      <w:rPr>
        <w:i/>
        <w:snapToGrid w:val="0"/>
        <w:sz w:val="18"/>
        <w:szCs w:val="18"/>
      </w:rPr>
      <w:fldChar w:fldCharType="separate"/>
    </w:r>
    <w:r w:rsidR="00256D8E">
      <w:rPr>
        <w:i/>
        <w:noProof/>
        <w:snapToGrid w:val="0"/>
        <w:sz w:val="18"/>
        <w:szCs w:val="18"/>
      </w:rPr>
      <w:t>10</w:t>
    </w:r>
    <w:r w:rsidR="00D91DA8">
      <w:rPr>
        <w:i/>
        <w:snapToGrid w:val="0"/>
        <w:sz w:val="18"/>
        <w:szCs w:val="18"/>
      </w:rPr>
      <w:fldChar w:fldCharType="end"/>
    </w:r>
    <w:r w:rsidR="000A1DE4">
      <w:rPr>
        <w:i/>
        <w:snapToGrid w:val="0"/>
        <w:sz w:val="18"/>
        <w:szCs w:val="18"/>
      </w:rPr>
      <w:t xml:space="preserve"> of </w:t>
    </w:r>
    <w:r w:rsidR="00D91DA8">
      <w:rPr>
        <w:i/>
        <w:snapToGrid w:val="0"/>
        <w:sz w:val="18"/>
        <w:szCs w:val="18"/>
      </w:rPr>
      <w:fldChar w:fldCharType="begin"/>
    </w:r>
    <w:r w:rsidR="000A1DE4">
      <w:rPr>
        <w:i/>
        <w:snapToGrid w:val="0"/>
        <w:sz w:val="18"/>
        <w:szCs w:val="18"/>
      </w:rPr>
      <w:instrText xml:space="preserve"> NUMPAGES </w:instrText>
    </w:r>
    <w:r w:rsidR="00D91DA8">
      <w:rPr>
        <w:i/>
        <w:snapToGrid w:val="0"/>
        <w:sz w:val="18"/>
        <w:szCs w:val="18"/>
      </w:rPr>
      <w:fldChar w:fldCharType="separate"/>
    </w:r>
    <w:r w:rsidR="00256D8E">
      <w:rPr>
        <w:i/>
        <w:noProof/>
        <w:snapToGrid w:val="0"/>
        <w:sz w:val="18"/>
        <w:szCs w:val="18"/>
      </w:rPr>
      <w:t>14</w:t>
    </w:r>
    <w:r w:rsidR="00D91DA8">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D1E" w:rsidRDefault="00E92D1E">
      <w:r>
        <w:separator/>
      </w:r>
    </w:p>
  </w:footnote>
  <w:footnote w:type="continuationSeparator" w:id="0">
    <w:p w:rsidR="00E92D1E" w:rsidRDefault="00E92D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6018"/>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65689"/>
    <w:rsid w:val="004728AB"/>
    <w:rsid w:val="00476289"/>
    <w:rsid w:val="00496623"/>
    <w:rsid w:val="004B794A"/>
    <w:rsid w:val="004C121F"/>
    <w:rsid w:val="004C3AC3"/>
    <w:rsid w:val="004D19AD"/>
    <w:rsid w:val="004D7C00"/>
    <w:rsid w:val="004E0F35"/>
    <w:rsid w:val="004E2016"/>
    <w:rsid w:val="004F0B48"/>
    <w:rsid w:val="004F5761"/>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514C"/>
    <w:rsid w:val="00626594"/>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86C4B"/>
    <w:rsid w:val="0079045B"/>
    <w:rsid w:val="007A5312"/>
    <w:rsid w:val="007C1C8F"/>
    <w:rsid w:val="007C263F"/>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D129F"/>
    <w:rsid w:val="008D4E4A"/>
    <w:rsid w:val="008E583A"/>
    <w:rsid w:val="008E6450"/>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43E0"/>
    <w:rsid w:val="009E73D4"/>
    <w:rsid w:val="009F300B"/>
    <w:rsid w:val="009F4744"/>
    <w:rsid w:val="00A354E0"/>
    <w:rsid w:val="00A4442B"/>
    <w:rsid w:val="00A50643"/>
    <w:rsid w:val="00A54CD5"/>
    <w:rsid w:val="00A566D5"/>
    <w:rsid w:val="00A57CF2"/>
    <w:rsid w:val="00A62146"/>
    <w:rsid w:val="00A649C5"/>
    <w:rsid w:val="00A7039A"/>
    <w:rsid w:val="00A84D10"/>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B00A3"/>
    <w:rsid w:val="00BB2066"/>
    <w:rsid w:val="00BC1CCF"/>
    <w:rsid w:val="00BC2595"/>
    <w:rsid w:val="00BD293C"/>
    <w:rsid w:val="00BE23B6"/>
    <w:rsid w:val="00BF1E56"/>
    <w:rsid w:val="00BF38C4"/>
    <w:rsid w:val="00BF3ACB"/>
    <w:rsid w:val="00BF7443"/>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416DA"/>
    <w:rsid w:val="00D63FE3"/>
    <w:rsid w:val="00D66E31"/>
    <w:rsid w:val="00D814EB"/>
    <w:rsid w:val="00D912FF"/>
    <w:rsid w:val="00D91DA8"/>
    <w:rsid w:val="00D93A9C"/>
    <w:rsid w:val="00DA2496"/>
    <w:rsid w:val="00DA4AE3"/>
    <w:rsid w:val="00DB019D"/>
    <w:rsid w:val="00DB0C02"/>
    <w:rsid w:val="00DB104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6AB8"/>
    <w:rsid w:val="00E62D04"/>
    <w:rsid w:val="00E72BF5"/>
    <w:rsid w:val="00E73C32"/>
    <w:rsid w:val="00E92D1E"/>
    <w:rsid w:val="00EA3E65"/>
    <w:rsid w:val="00EB03F4"/>
    <w:rsid w:val="00EC3FBB"/>
    <w:rsid w:val="00EE3DEC"/>
    <w:rsid w:val="00EF6333"/>
    <w:rsid w:val="00EF78A2"/>
    <w:rsid w:val="00F12494"/>
    <w:rsid w:val="00F212E2"/>
    <w:rsid w:val="00F22FD6"/>
    <w:rsid w:val="00F257E1"/>
    <w:rsid w:val="00F40242"/>
    <w:rsid w:val="00F438C6"/>
    <w:rsid w:val="00F44B0C"/>
    <w:rsid w:val="00F51A55"/>
    <w:rsid w:val="00F52D45"/>
    <w:rsid w:val="00F6583D"/>
    <w:rsid w:val="00F71E73"/>
    <w:rsid w:val="00FB7893"/>
    <w:rsid w:val="00FD111C"/>
    <w:rsid w:val="00FD6486"/>
    <w:rsid w:val="00FD7C71"/>
    <w:rsid w:val="00FE0628"/>
    <w:rsid w:val="00FF058E"/>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1FA93B5-D155-4DF0-98AB-732EE4DF1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68</TotalTime>
  <Pages>14</Pages>
  <Words>8453</Words>
  <Characters>48185</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56525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12</cp:revision>
  <cp:lastPrinted>2017-05-06T13:51:00Z</cp:lastPrinted>
  <dcterms:created xsi:type="dcterms:W3CDTF">2017-05-19T22:16:00Z</dcterms:created>
  <dcterms:modified xsi:type="dcterms:W3CDTF">2017-05-20T00:31:00Z</dcterms:modified>
</cp:coreProperties>
</file>