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7" w:rsidRDefault="00173A27" w:rsidP="00173A27">
      <w:pPr>
        <w:jc w:val="center"/>
        <w:rPr>
          <w:b/>
          <w:sz w:val="28"/>
        </w:rPr>
      </w:pPr>
      <w:r w:rsidRPr="00001AB8">
        <w:rPr>
          <w:b/>
          <w:sz w:val="28"/>
        </w:rPr>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342" w:type="dxa"/>
        <w:tblInd w:w="108" w:type="dxa"/>
        <w:tblLook w:val="0000"/>
      </w:tblPr>
      <w:tblGrid>
        <w:gridCol w:w="2718"/>
        <w:gridCol w:w="4122"/>
        <w:gridCol w:w="2502"/>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122" w:type="dxa"/>
            <w:vAlign w:val="center"/>
          </w:tcPr>
          <w:p w:rsidR="00173A27" w:rsidRDefault="00173A27" w:rsidP="00251B1A">
            <w:pPr>
              <w:jc w:val="center"/>
              <w:rPr>
                <w:b/>
                <w:bCs/>
                <w:iCs/>
              </w:rPr>
            </w:pPr>
            <w:r>
              <w:rPr>
                <w:b/>
                <w:bCs/>
                <w:iCs/>
              </w:rPr>
              <w:t>Christi L. Phelps</w:t>
            </w:r>
          </w:p>
        </w:tc>
        <w:tc>
          <w:tcPr>
            <w:tcW w:w="2502"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173A27" w:rsidRDefault="00173A27" w:rsidP="00251B1A">
            <w:pPr>
              <w:ind w:hanging="17"/>
              <w:jc w:val="center"/>
              <w:rPr>
                <w:b/>
                <w:bCs/>
                <w:iCs/>
              </w:rPr>
            </w:pPr>
            <w:r>
              <w:rPr>
                <w:b/>
                <w:bCs/>
                <w:iCs/>
              </w:rPr>
              <w:t>Sato Academy of Mathematics &amp; Science</w:t>
            </w:r>
          </w:p>
        </w:tc>
        <w:tc>
          <w:tcPr>
            <w:tcW w:w="2502"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122" w:type="dxa"/>
            <w:vAlign w:val="center"/>
          </w:tcPr>
          <w:p w:rsidR="00173A27" w:rsidRDefault="00173A27" w:rsidP="00251B1A">
            <w:pPr>
              <w:jc w:val="center"/>
              <w:rPr>
                <w:b/>
                <w:bCs/>
                <w:iCs/>
              </w:rPr>
            </w:pPr>
            <w:r>
              <w:rPr>
                <w:b/>
                <w:bCs/>
                <w:iCs/>
              </w:rPr>
              <w:t>Long Beach, California</w:t>
            </w:r>
          </w:p>
        </w:tc>
        <w:tc>
          <w:tcPr>
            <w:tcW w:w="2502"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122" w:type="dxa"/>
            <w:vAlign w:val="center"/>
          </w:tcPr>
          <w:p w:rsidR="00173A27" w:rsidRPr="00BD79E6" w:rsidRDefault="00173A27" w:rsidP="00251B1A">
            <w:pPr>
              <w:jc w:val="center"/>
              <w:rPr>
                <w:b/>
                <w:bCs/>
                <w:iCs/>
              </w:rPr>
            </w:pPr>
            <w:r w:rsidRPr="00AB5216">
              <w:rPr>
                <w:b/>
                <w:bCs/>
                <w:iCs/>
              </w:rPr>
              <w:t>CPhelps@lbschools.net</w:t>
            </w:r>
          </w:p>
        </w:tc>
        <w:tc>
          <w:tcPr>
            <w:tcW w:w="2502" w:type="dxa"/>
          </w:tcPr>
          <w:p w:rsidR="00173A27" w:rsidRPr="00131706" w:rsidRDefault="00173A27" w:rsidP="00251B1A">
            <w:pPr>
              <w:jc w:val="center"/>
              <w:rPr>
                <w:b/>
              </w:rPr>
            </w:pPr>
            <w:r w:rsidRPr="00131706">
              <w:rPr>
                <w:b/>
              </w:rPr>
              <w:t>frjstassi@gmail.com</w:t>
            </w:r>
          </w:p>
        </w:tc>
      </w:tr>
    </w:tbl>
    <w:p w:rsidR="00173A27" w:rsidRDefault="00173A27" w:rsidP="00173A27">
      <w:pPr>
        <w:rPr>
          <w:sz w:val="28"/>
        </w:rPr>
      </w:pPr>
    </w:p>
    <w:p w:rsidR="00173A27" w:rsidRDefault="00173A27" w:rsidP="00173A27">
      <w:pPr>
        <w:rPr>
          <w:sz w:val="28"/>
        </w:rPr>
      </w:pPr>
    </w:p>
    <w:p w:rsidR="00173A27" w:rsidRDefault="00173A27" w:rsidP="00173A27">
      <w:pPr>
        <w:pStyle w:val="Heading1"/>
        <w:jc w:val="center"/>
      </w:pPr>
      <w:r>
        <w:t>ABSTRACT</w:t>
      </w:r>
    </w:p>
    <w:p w:rsidR="00173A27" w:rsidRDefault="00173A27" w:rsidP="00173A27"/>
    <w:p w:rsidR="00173A27" w:rsidRDefault="00173A27" w:rsidP="00173A27">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t xml:space="preserve">  </w:t>
      </w:r>
    </w:p>
    <w:p w:rsidR="00173A27" w:rsidRDefault="00173A27" w:rsidP="00173A27">
      <w:pPr>
        <w:rPr>
          <w:sz w:val="28"/>
        </w:rPr>
      </w:pPr>
    </w:p>
    <w:p w:rsidR="00173A27" w:rsidRDefault="00173A27" w:rsidP="00173A27">
      <w:pPr>
        <w:pStyle w:val="Heading1"/>
        <w:jc w:val="center"/>
      </w:pPr>
      <w:r>
        <w:t>ABOUT THE AUTHORS</w:t>
      </w:r>
    </w:p>
    <w:p w:rsidR="00173A27" w:rsidRPr="00001AB8" w:rsidRDefault="00173A27" w:rsidP="00173A27">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w:t>
      </w:r>
      <w:proofErr w:type="gramStart"/>
      <w:r w:rsidRPr="00001AB8">
        <w:rPr>
          <w:b w:val="0"/>
          <w:bCs/>
          <w:iCs/>
          <w:sz w:val="20"/>
        </w:rPr>
        <w:t>DoD</w:t>
      </w:r>
      <w:proofErr w:type="gramEnd"/>
      <w:r w:rsidRPr="00001AB8">
        <w:rPr>
          <w:b w:val="0"/>
          <w:bCs/>
          <w:iCs/>
          <w:sz w:val="20"/>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001AB8">
        <w:rPr>
          <w:b w:val="0"/>
          <w:bCs/>
          <w:iCs/>
          <w:sz w:val="20"/>
        </w:rPr>
        <w:t>DoD</w:t>
      </w:r>
      <w:proofErr w:type="gramEnd"/>
      <w:r w:rsidRPr="00001AB8">
        <w:rPr>
          <w:b w:val="0"/>
          <w:bCs/>
          <w:iCs/>
          <w:sz w:val="20"/>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173A27" w:rsidRPr="00001AB8" w:rsidRDefault="00173A27" w:rsidP="00173A27">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w:t>
      </w:r>
      <w:proofErr w:type="gramStart"/>
      <w:r w:rsidRPr="00001AB8">
        <w:rPr>
          <w:b w:val="0"/>
          <w:bCs/>
          <w:iCs/>
          <w:sz w:val="20"/>
        </w:rPr>
        <w:t>an</w:t>
      </w:r>
      <w:proofErr w:type="gramEnd"/>
      <w:r w:rsidRPr="00001AB8">
        <w:rPr>
          <w:b w:val="0"/>
          <w:bCs/>
          <w:iCs/>
          <w:sz w:val="20"/>
        </w:rPr>
        <w:t xml:space="preserve"> M.Ed. in Curriculum and Instructions with an emphasis in Linked Learning from California State University, Long Beach.</w:t>
      </w:r>
    </w:p>
    <w:p w:rsidR="00173A27" w:rsidRPr="00001AB8" w:rsidRDefault="00173A27" w:rsidP="00173A27">
      <w:pPr>
        <w:pStyle w:val="Title"/>
        <w:spacing w:before="120"/>
        <w:jc w:val="both"/>
        <w:rPr>
          <w:b w:val="0"/>
          <w:bCs/>
          <w:sz w:val="20"/>
        </w:rPr>
      </w:pPr>
      <w:r w:rsidRPr="00001AB8">
        <w:rPr>
          <w:bCs/>
          <w:iCs/>
          <w:sz w:val="20"/>
        </w:rPr>
        <w:t>Frederica J. Stassi.</w:t>
      </w:r>
      <w:r w:rsidRPr="00001AB8">
        <w:rPr>
          <w:b w:val="0"/>
          <w:bCs/>
          <w:iCs/>
          <w:sz w:val="20"/>
        </w:rPr>
        <w:t xml:space="preserve"> Ed.D.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 xml:space="preserve">doctoral research was conducted under the guidance of Professor William McComas and focused on the development of science standards for the State of California. She received a B.A. degree from Tabor College, as well as an M.A. Degree in music performance and an </w:t>
      </w:r>
      <w:proofErr w:type="gramStart"/>
      <w:r w:rsidRPr="00001AB8">
        <w:rPr>
          <w:b w:val="0"/>
          <w:bCs/>
          <w:iCs/>
          <w:sz w:val="20"/>
        </w:rPr>
        <w:t>Ed.D.,</w:t>
      </w:r>
      <w:proofErr w:type="gramEnd"/>
      <w:r w:rsidRPr="00001AB8">
        <w:rPr>
          <w:b w:val="0"/>
          <w:bCs/>
          <w:iCs/>
          <w:sz w:val="20"/>
        </w:rPr>
        <w:t xml:space="preserve"> both from the University of Southern California.</w:t>
      </w:r>
    </w:p>
    <w:p w:rsidR="00173A27" w:rsidRDefault="00173A27" w:rsidP="00173A27">
      <w:pPr>
        <w:jc w:val="center"/>
        <w:rPr>
          <w:b/>
          <w:sz w:val="28"/>
        </w:rPr>
      </w:pPr>
      <w:r>
        <w:br w:type="page"/>
      </w:r>
      <w:r w:rsidRPr="00001AB8">
        <w:rPr>
          <w:b/>
          <w:sz w:val="28"/>
        </w:rPr>
        <w:lastRenderedPageBreak/>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468" w:type="dxa"/>
        <w:tblLook w:val="0000"/>
      </w:tblPr>
      <w:tblGrid>
        <w:gridCol w:w="2718"/>
        <w:gridCol w:w="4230"/>
        <w:gridCol w:w="2520"/>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230" w:type="dxa"/>
            <w:vAlign w:val="center"/>
          </w:tcPr>
          <w:p w:rsidR="00173A27" w:rsidRDefault="00173A27" w:rsidP="00251B1A">
            <w:pPr>
              <w:jc w:val="center"/>
              <w:rPr>
                <w:b/>
                <w:bCs/>
                <w:iCs/>
              </w:rPr>
            </w:pPr>
            <w:r>
              <w:rPr>
                <w:b/>
                <w:bCs/>
                <w:iCs/>
              </w:rPr>
              <w:t>Christi L. Phelps</w:t>
            </w:r>
          </w:p>
        </w:tc>
        <w:tc>
          <w:tcPr>
            <w:tcW w:w="2520"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173A27" w:rsidRDefault="00173A27" w:rsidP="00251B1A">
            <w:pPr>
              <w:ind w:hanging="17"/>
              <w:jc w:val="center"/>
              <w:rPr>
                <w:b/>
                <w:bCs/>
                <w:iCs/>
              </w:rPr>
            </w:pPr>
            <w:r>
              <w:rPr>
                <w:b/>
                <w:bCs/>
                <w:iCs/>
              </w:rPr>
              <w:t>Sato Academy of Mathematics &amp; Science</w:t>
            </w:r>
          </w:p>
        </w:tc>
        <w:tc>
          <w:tcPr>
            <w:tcW w:w="2520"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230" w:type="dxa"/>
            <w:vAlign w:val="center"/>
          </w:tcPr>
          <w:p w:rsidR="00173A27" w:rsidRDefault="00173A27" w:rsidP="00251B1A">
            <w:pPr>
              <w:jc w:val="center"/>
              <w:rPr>
                <w:b/>
                <w:bCs/>
                <w:iCs/>
              </w:rPr>
            </w:pPr>
            <w:r>
              <w:rPr>
                <w:b/>
                <w:bCs/>
                <w:iCs/>
              </w:rPr>
              <w:t>Long Beach, California</w:t>
            </w:r>
          </w:p>
        </w:tc>
        <w:tc>
          <w:tcPr>
            <w:tcW w:w="2520"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230" w:type="dxa"/>
            <w:vAlign w:val="center"/>
          </w:tcPr>
          <w:p w:rsidR="00173A27" w:rsidRPr="00BD79E6" w:rsidRDefault="00173A27" w:rsidP="00251B1A">
            <w:pPr>
              <w:jc w:val="center"/>
              <w:rPr>
                <w:b/>
                <w:bCs/>
                <w:iCs/>
              </w:rPr>
            </w:pPr>
            <w:r w:rsidRPr="00AB5216">
              <w:rPr>
                <w:b/>
                <w:bCs/>
                <w:iCs/>
              </w:rPr>
              <w:t>CPhelps@lbschools.net</w:t>
            </w:r>
          </w:p>
        </w:tc>
        <w:tc>
          <w:tcPr>
            <w:tcW w:w="2520" w:type="dxa"/>
          </w:tcPr>
          <w:p w:rsidR="00173A27" w:rsidRPr="00131706" w:rsidRDefault="00173A27" w:rsidP="00251B1A">
            <w:pPr>
              <w:jc w:val="center"/>
              <w:rPr>
                <w:b/>
              </w:rPr>
            </w:pPr>
            <w:r w:rsidRPr="00131706">
              <w:rPr>
                <w:b/>
              </w:rPr>
              <w:t>frjstassi@gmail.com</w:t>
            </w:r>
          </w:p>
        </w:tc>
      </w:tr>
    </w:tbl>
    <w:p w:rsidR="00173A27" w:rsidRDefault="00173A27" w:rsidP="00173A27"/>
    <w:p w:rsidR="00173A27" w:rsidRDefault="00173A27" w:rsidP="00173A27"/>
    <w:p w:rsidR="00173A27" w:rsidRDefault="00173A27" w:rsidP="00173A27">
      <w:pPr>
        <w:sectPr w:rsidR="00173A27" w:rsidSect="00A03B25">
          <w:headerReference w:type="default" r:id="rId13"/>
          <w:footerReference w:type="default" r:id="rId14"/>
          <w:type w:val="continuous"/>
          <w:pgSz w:w="12240" w:h="15840"/>
          <w:pgMar w:top="1440" w:right="1440" w:bottom="1440" w:left="1440" w:header="0" w:footer="780" w:gutter="0"/>
          <w:cols w:space="360"/>
          <w:docGrid w:linePitch="272"/>
        </w:sectPr>
      </w:pPr>
    </w:p>
    <w:p w:rsidR="00173A27" w:rsidRDefault="00173A27" w:rsidP="00173A27">
      <w:pPr>
        <w:pStyle w:val="Heading1"/>
      </w:pPr>
      <w:r>
        <w:lastRenderedPageBreak/>
        <w:t xml:space="preserve">INTRODUCTION </w:t>
      </w:r>
    </w:p>
    <w:p w:rsidR="003D2540" w:rsidRDefault="003D2540" w:rsidP="000E22B4"/>
    <w:p w:rsidR="009F4744" w:rsidRDefault="007D05EB" w:rsidP="000E22B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r w:rsidR="00081F93">
        <w:t xml:space="preserve">  This is not an exhaustive survey and analysis of all of the educational </w:t>
      </w:r>
      <w:proofErr w:type="spellStart"/>
      <w:r w:rsidR="00081F93">
        <w:t>acivities</w:t>
      </w:r>
      <w:proofErr w:type="spellEnd"/>
      <w:r w:rsidR="00081F93">
        <w:t xml:space="preserve"> in the United States today, but an offering of some of the major inspirations for the research in which we engage.</w:t>
      </w:r>
    </w:p>
    <w:bookmarkEnd w:id="0"/>
    <w:p w:rsidR="003D2540" w:rsidRDefault="003D2540" w:rsidP="000E22B4"/>
    <w:p w:rsidR="003D2540" w:rsidRDefault="001E5772" w:rsidP="000E22B4">
      <w:pPr>
        <w:pStyle w:val="Heading2"/>
      </w:pPr>
      <w:r>
        <w:t>Background</w:t>
      </w:r>
    </w:p>
    <w:p w:rsidR="003D2540" w:rsidRDefault="003D2540" w:rsidP="000E22B4"/>
    <w:p w:rsidR="002842CE" w:rsidRDefault="00EF7B49" w:rsidP="000E22B4">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rsidP="000E22B4"/>
    <w:p w:rsidR="002842CE" w:rsidRDefault="003023FF" w:rsidP="000E22B4">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w:t>
      </w:r>
      <w:proofErr w:type="gramStart"/>
      <w:r>
        <w:t>..)</w:t>
      </w:r>
      <w:proofErr w:type="gramEnd"/>
      <w:r>
        <w:t xml:space="preserve">  </w:t>
      </w:r>
      <w:r w:rsidR="002842CE">
        <w:t xml:space="preserve">His </w:t>
      </w:r>
      <w:r w:rsidR="00FB2E7B">
        <w:t>efforts were recognized with the foundation of CAPSI (</w:t>
      </w:r>
      <w:proofErr w:type="spellStart"/>
      <w:r w:rsidR="00FB2E7B">
        <w:t>CAltech</w:t>
      </w:r>
      <w:proofErr w:type="spellEnd"/>
      <w:r w:rsidR="00FB2E7B">
        <w:t xml:space="preserve"> Precollege Science Initiative) that developed a new approach to science education, focusing more on underlying philosophy and methodology. However, this method was not easily understood by the K-12 instructional staff.</w:t>
      </w:r>
    </w:p>
    <w:p w:rsidR="002842CE" w:rsidRDefault="002842CE" w:rsidP="000E22B4"/>
    <w:p w:rsidR="003023FF" w:rsidRDefault="003023FF" w:rsidP="000E22B4">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w:t>
      </w:r>
      <w:proofErr w:type="gramStart"/>
      <w:r>
        <w:t>..</w:t>
      </w:r>
      <w:proofErr w:type="gramEnd"/>
      <w:r>
        <w:t xml:space="preserve"> specifically tasked with improving technical writing skills among college graduates, especially technical personnel.</w:t>
      </w:r>
      <w:r w:rsidR="00FB2E7B">
        <w:t xml:space="preserve">  </w:t>
      </w:r>
    </w:p>
    <w:p w:rsidR="00FB2E7B" w:rsidRDefault="00FB2E7B" w:rsidP="000E22B4"/>
    <w:p w:rsidR="00FD2889" w:rsidRDefault="00FB2E7B" w:rsidP="000E22B4">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w:t>
      </w:r>
      <w:r w:rsidR="00EA0C3D">
        <w:lastRenderedPageBreak/>
        <w:t xml:space="preserve">creativity and drive in their students.  The decline they noted began in the last few decades of the twentieth century.  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t>
      </w:r>
      <w:proofErr w:type="gramStart"/>
      <w:r w:rsidR="00FD2889">
        <w:t>were</w:t>
      </w:r>
      <w:proofErr w:type="gramEnd"/>
      <w:r w:rsidR="00FD2889">
        <w:t xml:space="preserv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p>
    <w:p w:rsidR="00FD2889" w:rsidRDefault="00FD2889" w:rsidP="000E22B4"/>
    <w:p w:rsidR="00A2066F" w:rsidRDefault="00FD2889" w:rsidP="000E22B4">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rsidP="000E22B4"/>
    <w:p w:rsidR="003B549D" w:rsidRDefault="00A2066F" w:rsidP="000E22B4">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rsidP="000E22B4"/>
    <w:p w:rsidR="003B549D" w:rsidRDefault="003B549D" w:rsidP="000E22B4">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rsidP="000E22B4"/>
    <w:p w:rsidR="00AA033F" w:rsidRDefault="00C40648" w:rsidP="000E22B4">
      <w:r>
        <w:t xml:space="preserve">As to the claims of those who tout successes, it would be prudent to investigate metrics.  </w:t>
      </w:r>
      <w:r w:rsidR="00EA0C3D">
        <w:t xml:space="preserve">Specifically, in the case of Writing </w:t>
      </w:r>
      <w:proofErr w:type="gramStart"/>
      <w:r w:rsidR="00EA0C3D">
        <w:t>Across</w:t>
      </w:r>
      <w:proofErr w:type="gramEnd"/>
      <w:r w:rsidR="00EA0C3D">
        <w:t xml:space="preserve"> the Curriculum</w:t>
      </w:r>
      <w:r w:rsidR="00AA033F">
        <w:t xml:space="preserve"> (WAC)</w:t>
      </w:r>
      <w:r>
        <w:t xml:space="preserve">, the English </w:t>
      </w:r>
      <w:r w:rsidR="00A81744">
        <w:t>instructor</w:t>
      </w:r>
      <w:r>
        <w:t xml:space="preserve"> </w:t>
      </w:r>
      <w:r w:rsidR="00A81744">
        <w:t>noted</w:t>
      </w:r>
      <w:r>
        <w:t xml:space="preserve"> above provided </w:t>
      </w:r>
      <w:r w:rsidR="00B05891">
        <w:t xml:space="preserve">a cite to </w:t>
      </w:r>
      <w:r>
        <w:t>the following</w:t>
      </w:r>
      <w:r w:rsidR="00B05891">
        <w:t xml:space="preserve"> article</w:t>
      </w:r>
      <w:r>
        <w:t xml:space="preserve">: </w:t>
      </w:r>
      <w:r w:rsidR="00A7492D">
        <w:rPr>
          <w:i/>
          <w:iCs/>
        </w:rPr>
        <w:t>Assessing Writing across the Curriculum: Diverse Approaches and Practices. Perspectives on Writing: Theory, Research, Practice. Volume 1</w:t>
      </w:r>
      <w:r w:rsidR="00A7492D">
        <w:t>. (</w:t>
      </w:r>
      <w:proofErr w:type="spellStart"/>
      <w:r w:rsidR="00A7492D">
        <w:t>Yancy</w:t>
      </w:r>
      <w:proofErr w:type="spellEnd"/>
      <w:r w:rsidR="00A7492D">
        <w:t>, 1999)</w:t>
      </w:r>
      <w:r w:rsidR="00B05891">
        <w:t xml:space="preserve">  </w:t>
      </w:r>
      <w:r w:rsidR="00AA033F">
        <w:t xml:space="preserve">When analyzed, it mainly focuses on </w:t>
      </w:r>
      <w:r w:rsidR="00B05891">
        <w:t xml:space="preserve">methods.  When it came to results, it offered </w:t>
      </w:r>
      <w:r w:rsidR="00AA033F">
        <w:t>participation metrics</w:t>
      </w:r>
      <w:proofErr w:type="gramStart"/>
      <w:r w:rsidR="00B05891">
        <w:t xml:space="preserve">, </w:t>
      </w:r>
      <w:r w:rsidR="00AA033F">
        <w:t>:</w:t>
      </w:r>
      <w:proofErr w:type="gramEnd"/>
      <w:r w:rsidR="00AA033F">
        <w:t xml:space="preserve"> How many campuses served, how many WAC officers, how much spent, …  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how many employers are pleased …  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rsidP="000E22B4"/>
    <w:p w:rsidR="000966F9" w:rsidRDefault="00B05891" w:rsidP="000E22B4">
      <w:pPr>
        <w:pStyle w:val="Heading2"/>
      </w:pPr>
      <w:r>
        <w:t>Alternative Approaches</w:t>
      </w:r>
    </w:p>
    <w:p w:rsidR="00B05891" w:rsidRDefault="00B05891" w:rsidP="000E22B4"/>
    <w:p w:rsidR="00B05891" w:rsidRDefault="00B05891" w:rsidP="000E22B4">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0E22B4"/>
    <w:p w:rsidR="007276CB" w:rsidRDefault="007276CB" w:rsidP="000E22B4">
      <w:r>
        <w:t>Much later, in the late 19</w:t>
      </w:r>
      <w:r w:rsidRPr="007276CB">
        <w:rPr>
          <w:vertAlign w:val="superscript"/>
        </w:rPr>
        <w:t>th</w:t>
      </w:r>
      <w:r>
        <w:t xml:space="preserve"> century, a Finn named </w:t>
      </w:r>
      <w:r w:rsidRPr="007276CB">
        <w:t xml:space="preserve">Uno </w:t>
      </w:r>
      <w:proofErr w:type="spellStart"/>
      <w:r w:rsidRPr="007276CB">
        <w:t>Cygnaeus</w:t>
      </w:r>
      <w:proofErr w:type="spellEnd"/>
      <w:r>
        <w:t xml:space="preserve"> developed a craftsman-based approach to woodworking entitled Educational </w:t>
      </w:r>
      <w:proofErr w:type="spellStart"/>
      <w:r>
        <w:t>Sloyd</w:t>
      </w:r>
      <w:proofErr w:type="spellEnd"/>
      <w:r>
        <w:t xml:space="preserve">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w:t>
      </w:r>
      <w:proofErr w:type="spellStart"/>
      <w:r w:rsidR="00533A18">
        <w:t>T</w:t>
      </w:r>
      <w:r w:rsidR="00533A18" w:rsidRPr="00533A18">
        <w:t>ho</w:t>
      </w:r>
      <w:r w:rsidR="00533A18">
        <w:t>rsteinsson</w:t>
      </w:r>
      <w:proofErr w:type="spellEnd"/>
      <w:r w:rsidR="00533A18">
        <w:t xml:space="preserve">, G., </w:t>
      </w:r>
      <w:r w:rsidR="00533A18" w:rsidRPr="00533A18">
        <w:t>2014).</w:t>
      </w:r>
      <w:r w:rsidR="00AE7834">
        <w:t xml:space="preserve"> These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0E22B4"/>
    <w:p w:rsidR="00AE7834" w:rsidRDefault="00AE7834" w:rsidP="000E22B4">
      <w:r>
        <w:t>The concept of the teacher</w:t>
      </w:r>
      <w:r w:rsidR="001E652D">
        <w:t>,</w:t>
      </w:r>
      <w:r>
        <w:t xml:space="preserve"> as a facilitator only</w:t>
      </w:r>
      <w:r w:rsidR="001E652D">
        <w:t>,</w:t>
      </w:r>
      <w:r>
        <w:t xml:space="preserve"> find</w:t>
      </w:r>
      <w:r w:rsidR="001E652D">
        <w:t>s</w:t>
      </w:r>
      <w:r>
        <w:t xml:space="preserve"> the most common expression in the Constructivist pedagogy.  Finding its underpinnings in the writings and theories of the Swiss psychologist Jean Piaget, 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goal and then master them.  This approach putatively addresses several of the issues mentioned above: focus on topics, real-life relevancy, communication skills, analytic approach, and progress feed-back loops.   </w:t>
      </w:r>
    </w:p>
    <w:p w:rsidR="001E652D" w:rsidRDefault="001E652D" w:rsidP="000E22B4"/>
    <w:p w:rsidR="001E652D" w:rsidRDefault="001E652D" w:rsidP="000E22B4">
      <w:r>
        <w:t xml:space="preserve">A common factor in all of these pedagogies is that they require a very well prepared class leader, a </w:t>
      </w:r>
      <w:proofErr w:type="gramStart"/>
      <w:r>
        <w:t>very</w:t>
      </w:r>
      <w:proofErr w:type="gramEnd"/>
      <w:r>
        <w:t xml:space="preserve">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0E22B4"/>
    <w:p w:rsidR="001017C4" w:rsidRDefault="003F2C84" w:rsidP="000E22B4">
      <w:r>
        <w:t xml:space="preserve">This paper holds that when most people think of critical thinking training, they think of Science, Technology, Engineering and Mathematics (STEM) topics.  Herein </w:t>
      </w:r>
      <w:proofErr w:type="gramStart"/>
      <w:r>
        <w:t>lies</w:t>
      </w:r>
      <w:proofErr w:type="gramEnd"/>
      <w:r>
        <w:t xml:space="preserve"> a different problem: STEM topics require a significant amount of learning before the Socratic or Constructivist approaches make much sense.  One cannot let students take the time to create their own system of Calculus, develop their own taxonomies for Biology, bring order to their own periodic table for Chemistry, and derive their own explanation for Planetary Motion.  That means that, to a very large degree, time must be devoted to teaching the basics via the lecture method, with precious little time left over for the more interactive and socially germane learning of the advanced pedagogies.  One could argue that the reason the </w:t>
      </w:r>
      <w:r w:rsidR="000E22B4">
        <w:t>Socratic</w:t>
      </w:r>
      <w:r>
        <w:t xml:space="preserve"> </w:t>
      </w:r>
      <w:r w:rsidR="000E22B4">
        <w:t>Method</w:t>
      </w:r>
      <w:r>
        <w:t xml:space="preserve"> is still the pedagogy of choice in the study of the Law is that the basics, reading </w:t>
      </w:r>
      <w:r w:rsidR="000E22B4">
        <w:t>English text with a paucity of jargon, is a given at the level of a holder of a bachelors' degree from a top level university.</w:t>
      </w:r>
      <w:r w:rsidR="00904A09">
        <w:t xml:space="preserve">  </w:t>
      </w:r>
    </w:p>
    <w:p w:rsidR="00904A09" w:rsidRDefault="00904A09" w:rsidP="00904A09"/>
    <w:p w:rsidR="00904A09" w:rsidRDefault="00904A09" w:rsidP="00904A09">
      <w:r>
        <w:t>The nation's commitment to these problems is set out in Next Generation Science Standards (NGSS)</w:t>
      </w:r>
      <w:proofErr w:type="gramStart"/>
      <w:r w:rsidR="00A6530E">
        <w:t>,</w:t>
      </w:r>
      <w:r>
        <w:t xml:space="preserve">  </w:t>
      </w:r>
      <w:proofErr w:type="gramEnd"/>
      <w:r>
        <w:br/>
      </w:r>
      <w:r w:rsidR="00A6530E">
        <w:t xml:space="preserve">(NGSS Lead States, 2913).  </w:t>
      </w:r>
      <w:r>
        <w:t xml:space="preserve">An analysis of that set of standards reveals that </w:t>
      </w:r>
      <w:r w:rsidRPr="00CB15E7">
        <w:t xml:space="preserve">It is important to understand that </w:t>
      </w:r>
      <w:r>
        <w:t xml:space="preserve">all </w:t>
      </w:r>
      <w:r w:rsidRPr="00CB15E7">
        <w:t xml:space="preserve">scientific </w:t>
      </w:r>
      <w:r>
        <w:t>methodology</w:t>
      </w:r>
      <w:r w:rsidRPr="00CB15E7">
        <w:t xml:space="preserve"> include the critical thinking and communication skills that </w:t>
      </w:r>
      <w:r>
        <w:t>STEM practitioner will</w:t>
      </w:r>
      <w:r w:rsidRPr="00CB15E7">
        <w:t xml:space="preserve"> need for </w:t>
      </w:r>
      <w:r>
        <w:t>career</w:t>
      </w:r>
      <w:r w:rsidRPr="00CB15E7">
        <w:t xml:space="preserve"> success and</w:t>
      </w:r>
      <w:r>
        <w:t xml:space="preserve"> the non-STEM professional will need at a lower level for active participation</w:t>
      </w:r>
      <w:r w:rsidRPr="00CB15E7">
        <w:t xml:space="preserve"> </w:t>
      </w:r>
      <w:r>
        <w:t>in an environment driven</w:t>
      </w:r>
      <w:r w:rsidRPr="00CB15E7">
        <w:t xml:space="preserve"> by </w:t>
      </w:r>
      <w:r>
        <w:t>advances in and products enabled by</w:t>
      </w:r>
      <w:r w:rsidRPr="00CB15E7">
        <w:t xml:space="preserve"> science and technology. These </w:t>
      </w:r>
      <w:r>
        <w:t>STEM</w:t>
      </w:r>
      <w:r w:rsidRPr="00CB15E7">
        <w:t xml:space="preserve"> </w:t>
      </w:r>
      <w:r>
        <w:t>techniques are founded on the</w:t>
      </w:r>
      <w:r w:rsidRPr="00CB15E7">
        <w:t xml:space="preserve"> </w:t>
      </w:r>
      <w:r>
        <w:t>expertise that scientists and engineers employ regularly in the industrial, academic and military environments</w:t>
      </w:r>
      <w:r w:rsidRPr="00CB15E7">
        <w:t xml:space="preserve">. </w:t>
      </w:r>
      <w:r>
        <w:t>This is not just a matter of passing qualifications, it is requisite for everyday accomplishments of tasks assigned, yet the lecture based school house typically does not have the kind success imperative that the graduate will find after they settle in on their life's work</w:t>
      </w:r>
      <w:r w:rsidRPr="00CB15E7">
        <w:t xml:space="preserve">. </w:t>
      </w:r>
      <w:r>
        <w:t>NGSS wants to convey the sense that both the background information and th</w:t>
      </w:r>
      <w:r w:rsidR="00A6530E">
        <w:t xml:space="preserve">e learned skills are interwoven, </w:t>
      </w:r>
      <w:r w:rsidR="00A6530E" w:rsidRPr="00A6530E">
        <w:t>(Le</w:t>
      </w:r>
      <w:r w:rsidR="00A6530E">
        <w:t>e</w:t>
      </w:r>
      <w:r w:rsidR="00A6530E" w:rsidRPr="00A6530E">
        <w:t>, 2014)</w:t>
      </w:r>
    </w:p>
    <w:p w:rsidR="008B2339" w:rsidRDefault="008B2339" w:rsidP="00904A09"/>
    <w:p w:rsidR="008B2339" w:rsidRDefault="008B2339" w:rsidP="008B2339">
      <w:pPr>
        <w:pStyle w:val="Heading1"/>
      </w:pPr>
      <w:r>
        <w:t>Major Theses</w:t>
      </w:r>
    </w:p>
    <w:p w:rsidR="000E22B4" w:rsidRDefault="000E22B4" w:rsidP="000E22B4"/>
    <w:p w:rsidR="000E22B4" w:rsidRPr="000E22B4" w:rsidRDefault="000E22B4" w:rsidP="000E22B4">
      <w:r>
        <w:t>Which brings us to the</w:t>
      </w:r>
      <w:r w:rsidR="008B2339">
        <w:t xml:space="preserve"> first</w:t>
      </w:r>
      <w:r>
        <w:t xml:space="preserve"> major thesis of this paper: Critical thinking can best be taught in the pre-college educational environment of K-12 education by teaching critical thinking, analytic and communication skills via the studies of English and literature.  It is nearly universally true in the US that students, even those entering the first grade, are quite well versed in spoken English and many of those from middle and upper SES households, enter the first grade with rudimentary reading abilities.  </w:t>
      </w:r>
      <w:r w:rsidR="00A6530E">
        <w:t xml:space="preserve">That provides a </w:t>
      </w:r>
      <w:r w:rsidR="008B2339">
        <w:t>readymade</w:t>
      </w:r>
      <w:r w:rsidR="00A6530E">
        <w:t xml:space="preserve"> laboratory in which to develop analytical thinking.</w:t>
      </w:r>
      <w:r w:rsidR="008B2339">
        <w:t xml:space="preserve">  The remaining issue is the logistics, instructor skills, individual pacing, and individualized training foci to optimize the impact on the class.  </w:t>
      </w:r>
    </w:p>
    <w:p w:rsidR="001E652D" w:rsidRDefault="001E652D" w:rsidP="000E22B4"/>
    <w:p w:rsidR="001E652D" w:rsidRPr="00B05891" w:rsidRDefault="008B2339" w:rsidP="000E22B4">
      <w:r>
        <w:t xml:space="preserve">Which brings us to the second major thesis of this paper: Modeling and Simulation (M&amp;S) afford the best and most sustainable prospect of achieving the continued ascendency of this society.  To accomplish this, M&amp;S must be able to provide appropriate training, in the school house, the workplaces of industry, and the duty stations of the military </w:t>
      </w:r>
      <w:r>
        <w:lastRenderedPageBreak/>
        <w:t>warfighters.</w:t>
      </w:r>
      <w:r w:rsidR="000D03D7">
        <w:t xml:space="preserve"> M&amp;S must present the best didactic skills of its premier teachers and do so at a pace that best suits each student.  Further advances can be made if the topic of the materials at the heart of each students study matches the proclivities of that student, a feat rarely achieved in a classroom of thirty students and one instructor.  This will require a range of capabilities and alternatives which will be identified and discussed below.</w:t>
      </w:r>
    </w:p>
    <w:p w:rsidR="003023FF" w:rsidRDefault="003023FF" w:rsidP="000E22B4"/>
    <w:p w:rsidR="003D2540" w:rsidRDefault="003D2540" w:rsidP="000E22B4"/>
    <w:p w:rsidR="003D2540" w:rsidRDefault="000D03D7" w:rsidP="000D03D7">
      <w:pPr>
        <w:pStyle w:val="Heading1"/>
      </w:pPr>
      <w:r>
        <w:t>Technologies to Enable Critical Thinking and Communications</w:t>
      </w:r>
    </w:p>
    <w:p w:rsidR="00065002" w:rsidRDefault="00065002" w:rsidP="000E22B4"/>
    <w:p w:rsidR="00081F93" w:rsidRDefault="00081F93" w:rsidP="000E22B4">
      <w:r>
        <w:t xml:space="preserve">There are two major high-level approaches to improving Critical Thinking and Communications skills.  One is encouraging and refining critical thinking by recursively challenging the student to improve and defend their choices and assumptions.  A second is the establishment of a rubric-like set of rules or procedures to ensure critical thinking. Both of these may profit from a concomitant exposure to meta-cognitive theory to inculcate a continuous self analysis function as a check on critical thinking procedures.  One of the questions implied or raised explicitly below is which of these technologies would yield a better result, not on the test, not as evaluated by the instructor, and not </w:t>
      </w:r>
      <w:r w:rsidR="0088317A">
        <w:t>to justify more funding, but instead, a resultant graduates who are prepared to utilize their intellectual abilities to the best advantage for themselves, their organization and the nation at large.</w:t>
      </w:r>
    </w:p>
    <w:p w:rsidR="0088317A" w:rsidRDefault="0088317A" w:rsidP="000E22B4"/>
    <w:p w:rsidR="0088317A" w:rsidRDefault="003F6FAA" w:rsidP="000E22B4">
      <w:r>
        <w:t>There are many sources for classroom instruction guides to teaching analysis in the English classroom.  While some may be formulaic, they all require careful attention to individual students, preferably without exposing them to the ever-present fear of peer ridicule.  While this issue may need to be addressed eventually, it is not the subject of the current paper.  This paper asserts that three characteristics of effective instruction are in short supply, largely because of the time constraints on the teacher.  However, there are three large areas of technical advances that may speak to ameliorating this constraints and augmenting the classroom instructor: large</w:t>
      </w:r>
      <w:r w:rsidR="00B57D69">
        <w:t>-</w:t>
      </w:r>
      <w:r>
        <w:t>scale distributed simulations, virtual humans or conversational computer agents and A/I analyses of topics, goals, and student input.</w:t>
      </w:r>
    </w:p>
    <w:p w:rsidR="003F6FAA" w:rsidRDefault="003F6FAA" w:rsidP="000E22B4"/>
    <w:p w:rsidR="003F6FAA" w:rsidRDefault="00B57D69" w:rsidP="00B57D69">
      <w:pPr>
        <w:pStyle w:val="Heading2"/>
      </w:pPr>
      <w:r>
        <w:t>Large Scale Distributed Simulations</w:t>
      </w:r>
    </w:p>
    <w:p w:rsidR="00B57D69" w:rsidRPr="00AD436D" w:rsidRDefault="00B57D69" w:rsidP="00AD436D">
      <w:pPr>
        <w:spacing w:before="120"/>
      </w:pPr>
      <w:r>
        <w:t xml:space="preserve">The issue addressed here is the need to provide simulation and analytic </w:t>
      </w:r>
      <w:r w:rsidR="00AD436D">
        <w:t>capabilities</w:t>
      </w:r>
      <w:r>
        <w:t xml:space="preserve"> to the local classroom without overly taxing the computer assets and technical expertise needed to optimize simulation in which students can freely express themselves and experiment without peer derision. </w:t>
      </w:r>
      <w:r w:rsidR="00AD436D">
        <w:t>Bandwidth issues when the accessing of remote servers is required to allow centralization of both hardware and human expertise assets.  One could envision a national repository of either virtual humans or libraries of pre recorded video clips to allow computer-generated virtual conversations with a computer agent.</w:t>
      </w:r>
    </w:p>
    <w:p w:rsidR="00B57D69" w:rsidRDefault="00B57D69" w:rsidP="00B57D69">
      <w:pPr>
        <w:spacing w:before="120"/>
      </w:pPr>
      <w:r>
        <w:t>With the geographic distribution of the computers and the human-in-the-loop participants, as shown in the map below (</w:t>
      </w:r>
      <w:r w:rsidR="00157A89">
        <w:fldChar w:fldCharType="begin"/>
      </w:r>
      <w:r w:rsidR="00AD2CB9">
        <w:instrText xml:space="preserve"> REF _Ref536371364 \h </w:instrText>
      </w:r>
      <w:r w:rsidR="00157A89">
        <w:fldChar w:fldCharType="separate"/>
      </w:r>
      <w:r w:rsidR="00AD2CB9" w:rsidRPr="00B57D69">
        <w:t xml:space="preserve">Figure </w:t>
      </w:r>
      <w:r w:rsidR="00AD2CB9" w:rsidRPr="00B57D69">
        <w:rPr>
          <w:noProof/>
        </w:rPr>
        <w:t>1</w:t>
      </w:r>
      <w:r w:rsidR="00157A89">
        <w:fldChar w:fldCharType="end"/>
      </w:r>
      <w:r w:rsidR="00AD2CB9">
        <w:t xml:space="preserve">), a team at the University of Southern </w:t>
      </w:r>
      <w:proofErr w:type="gramStart"/>
      <w:r w:rsidR="00AD2CB9">
        <w:t>California  (</w:t>
      </w:r>
      <w:proofErr w:type="gramEnd"/>
      <w:r w:rsidR="00AD2CB9">
        <w:t xml:space="preserve">USC) </w:t>
      </w:r>
      <w:r>
        <w:t>had to reduce long-haul communications as much as possible</w:t>
      </w:r>
    </w:p>
    <w:p w:rsidR="00B57D69" w:rsidRDefault="00B57D69" w:rsidP="00B57D69">
      <w:pPr>
        <w:pStyle w:val="NormalIndent"/>
        <w:spacing w:before="120"/>
        <w:ind w:firstLine="0"/>
        <w:jc w:val="center"/>
      </w:pPr>
      <w:r>
        <w:rPr>
          <w:noProof/>
          <w:snapToGrid/>
        </w:rPr>
        <w:drawing>
          <wp:inline distT="0" distB="0" distL="0" distR="0">
            <wp:extent cx="4558665" cy="2040255"/>
            <wp:effectExtent l="19050" t="0" r="0" b="0"/>
            <wp:docPr id="2"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5" cstate="print"/>
                    <a:srcRect/>
                    <a:stretch>
                      <a:fillRect/>
                    </a:stretch>
                  </pic:blipFill>
                  <pic:spPr bwMode="auto">
                    <a:xfrm>
                      <a:off x="0" y="0"/>
                      <a:ext cx="4558665" cy="2040255"/>
                    </a:xfrm>
                    <a:prstGeom prst="rect">
                      <a:avLst/>
                    </a:prstGeom>
                    <a:noFill/>
                    <a:ln w="9525">
                      <a:noFill/>
                      <a:miter lim="800000"/>
                      <a:headEnd/>
                      <a:tailEnd/>
                    </a:ln>
                  </pic:spPr>
                </pic:pic>
              </a:graphicData>
            </a:graphic>
          </wp:inline>
        </w:drawing>
      </w:r>
    </w:p>
    <w:p w:rsidR="00B57D69" w:rsidRDefault="00B57D69" w:rsidP="00B57D69">
      <w:pPr>
        <w:pStyle w:val="NormalIndent"/>
        <w:spacing w:before="120"/>
        <w:ind w:firstLine="0"/>
        <w:jc w:val="center"/>
      </w:pPr>
    </w:p>
    <w:p w:rsidR="00B57D69" w:rsidRPr="00B57D69" w:rsidRDefault="00B57D69" w:rsidP="00B57D69">
      <w:pPr>
        <w:pStyle w:val="Caption"/>
        <w:jc w:val="center"/>
        <w:rPr>
          <w:color w:val="auto"/>
        </w:rPr>
      </w:pPr>
      <w:bookmarkStart w:id="1" w:name="_Ref536371364"/>
      <w:bookmarkStart w:id="2" w:name="_Ref536371319"/>
      <w:r w:rsidRPr="00B57D69">
        <w:rPr>
          <w:color w:val="auto"/>
        </w:rPr>
        <w:t xml:space="preserve">Figure </w:t>
      </w:r>
      <w:r w:rsidR="00157A89" w:rsidRPr="00B57D69">
        <w:rPr>
          <w:color w:val="auto"/>
        </w:rPr>
        <w:fldChar w:fldCharType="begin"/>
      </w:r>
      <w:r w:rsidRPr="00B57D69">
        <w:rPr>
          <w:color w:val="auto"/>
        </w:rPr>
        <w:instrText xml:space="preserve"> SEQ Figure \* ARABIC </w:instrText>
      </w:r>
      <w:r w:rsidR="00157A89" w:rsidRPr="00B57D69">
        <w:rPr>
          <w:color w:val="auto"/>
        </w:rPr>
        <w:fldChar w:fldCharType="separate"/>
      </w:r>
      <w:r w:rsidR="007B4EFD">
        <w:rPr>
          <w:noProof/>
          <w:color w:val="auto"/>
        </w:rPr>
        <w:t>1</w:t>
      </w:r>
      <w:r w:rsidR="00157A89" w:rsidRPr="00B57D69">
        <w:rPr>
          <w:color w:val="auto"/>
        </w:rPr>
        <w:fldChar w:fldCharType="end"/>
      </w:r>
      <w:bookmarkEnd w:id="1"/>
      <w:r w:rsidRPr="00B57D69">
        <w:rPr>
          <w:color w:val="auto"/>
        </w:rPr>
        <w:t xml:space="preserve"> </w:t>
      </w:r>
      <w:r>
        <w:rPr>
          <w:color w:val="auto"/>
        </w:rPr>
        <w:t>USC</w:t>
      </w:r>
      <w:r w:rsidRPr="00B57D69">
        <w:rPr>
          <w:color w:val="auto"/>
        </w:rPr>
        <w:t xml:space="preserve"> Experimentation System and ISI 10 Gig/Sec. Test Bed</w:t>
      </w:r>
      <w:bookmarkEnd w:id="2"/>
    </w:p>
    <w:p w:rsidR="00B57D69" w:rsidRDefault="00B57D69" w:rsidP="000E22B4"/>
    <w:p w:rsidR="00B57D69" w:rsidRDefault="00B57D69" w:rsidP="000E22B4"/>
    <w:p w:rsidR="00B57D69" w:rsidRDefault="00B57D69" w:rsidP="00B57D69">
      <w:pPr>
        <w:pStyle w:val="Heading2"/>
      </w:pPr>
      <w:r>
        <w:lastRenderedPageBreak/>
        <w:t>Virtual Humans and Conversational Computer Agents</w:t>
      </w:r>
    </w:p>
    <w:p w:rsidR="00B57D69" w:rsidRDefault="00B57D69" w:rsidP="000E22B4"/>
    <w:p w:rsidR="003C04EB" w:rsidRDefault="003C04EB" w:rsidP="000E22B4">
      <w:r>
        <w:t>Augmenting the classroom teacher effectively with a computer generated substitute is difficult, but current advances have made great strides in enabling such and approach. At USC and any number of other research universities, capabilities have been growing steadily.  This computer generated tutors can be made up of either virtual humans (animated characters with no real existence in the flesh) or the careful selection out of a library of video prerecorded video clips (taped in sessions with live human teachers).  These techniques have proven effective in museum settings, local networked study areas or over the internet.</w:t>
      </w:r>
    </w:p>
    <w:p w:rsidR="003C04EB" w:rsidRDefault="003C04EB" w:rsidP="000E22B4"/>
    <w:p w:rsidR="003C04EB" w:rsidRDefault="003C04EB" w:rsidP="003C04EB">
      <w:pPr>
        <w:pStyle w:val="SIW-Norm"/>
      </w:pPr>
      <w:r w:rsidRPr="009617AF">
        <w:t>A virtual human is a virtual reality creation in which an avatar is created, often based on a real person, and attempts to recreate the appearance, voice, feel, and interaction that a live human would produce. With the advancement of several new technologies, including but not limited to natural language processing, virtual reality (VR), computer generated imagery (CGI), machine learning, and virtual learning, the uses, as well as the limits of virtual humans, are becoming evident. As a premier research institute with specialization in virtual affairs, the Institute for Creative Technologies (ICT) provides a home for myriad projects which consider virtual reality to be their primary focus. Researchers at ICT have developed with this purpose in mind and generated SimCoach, New Dimensions in Testimony (NDT), PAL3, and others generalized under learning sciences, medical VR, mixed reality, narrative, social stimulation, virtual humans, and vision and graphics. The field of knowledge available here is immense, and we utilized countless resources in earning expertise in the promising field that comprises virtual humans.</w:t>
      </w:r>
      <w:r>
        <w:t xml:space="preserve">  The user interface can take many forms, as in Figures Below.</w:t>
      </w:r>
    </w:p>
    <w:p w:rsidR="003C04EB" w:rsidRDefault="00157A89" w:rsidP="003C04EB">
      <w:pPr>
        <w:pStyle w:val="SIW-Norm"/>
      </w:pPr>
      <w:r>
        <w:pict>
          <v:shapetype id="_x0000_t202" coordsize="21600,21600" o:spt="202" path="m,l,21600r21600,l21600,xe">
            <v:stroke joinstyle="miter"/>
            <v:path gradientshapeok="t" o:connecttype="rect"/>
          </v:shapetype>
          <v:shape id="_x0000_s1029" type="#_x0000_t202" style="position:absolute;left:0;text-align:left;margin-left:162.7pt;margin-top:13.5pt;width:155.8pt;height:145pt;z-index:251662336;mso-width-relative:margin;mso-height-relative:margin" o:allowoverlap="f" stroked="f">
            <v:textbox style="mso-next-textbox:#_x0000_s1029">
              <w:txbxContent>
                <w:p w:rsidR="003C04EB" w:rsidRDefault="003C04EB" w:rsidP="003C04EB">
                  <w:pPr>
                    <w:pStyle w:val="Caption"/>
                    <w:keepNext/>
                    <w:jc w:val="left"/>
                  </w:pPr>
                  <w:r w:rsidRPr="00465689">
                    <w:rPr>
                      <w:noProof/>
                    </w:rPr>
                    <w:drawing>
                      <wp:inline distT="0" distB="0" distL="0" distR="0">
                        <wp:extent cx="1689422" cy="1253035"/>
                        <wp:effectExtent l="57150" t="57150" r="63178" b="61415"/>
                        <wp:docPr id="3"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6"/>
                                <a:srcRect l="1000" r="17000"/>
                                <a:stretch>
                                  <a:fillRect/>
                                </a:stretch>
                              </pic:blipFill>
                              <pic:spPr>
                                <a:xfrm>
                                  <a:off x="0" y="0"/>
                                  <a:ext cx="1703602" cy="1263552"/>
                                </a:xfrm>
                                <a:prstGeom prst="rect">
                                  <a:avLst/>
                                </a:prstGeom>
                                <a:ln w="63500">
                                  <a:solidFill>
                                    <a:schemeClr val="bg2">
                                      <a:lumMod val="50000"/>
                                    </a:schemeClr>
                                  </a:solidFill>
                                </a:ln>
                              </pic:spPr>
                            </pic:pic>
                          </a:graphicData>
                        </a:graphic>
                      </wp:inline>
                    </w:drawing>
                  </w:r>
                </w:p>
                <w:p w:rsidR="003C04EB" w:rsidRPr="00B61338" w:rsidRDefault="00052F79" w:rsidP="00052F79">
                  <w:pPr>
                    <w:pStyle w:val="Caption"/>
                    <w:spacing w:before="300" w:after="0"/>
                    <w:rPr>
                      <w:color w:val="auto"/>
                    </w:rPr>
                  </w:pPr>
                  <w:r>
                    <w:t xml:space="preserve">Figure </w:t>
                  </w:r>
                  <w:fldSimple w:instr=" SEQ Figure \* ARABIC ">
                    <w:r w:rsidR="007B4EFD">
                      <w:rPr>
                        <w:noProof/>
                      </w:rPr>
                      <w:t>2</w:t>
                    </w:r>
                  </w:fldSimple>
                  <w:r w:rsidR="003C04EB" w:rsidRPr="00B61338">
                    <w:rPr>
                      <w:color w:val="auto"/>
                    </w:rPr>
                    <w:t xml:space="preserve"> </w:t>
                  </w:r>
                  <w:r w:rsidR="003C04EB">
                    <w:rPr>
                      <w:color w:val="auto"/>
                    </w:rPr>
                    <w:t>–</w:t>
                  </w:r>
                  <w:r w:rsidR="003C04EB" w:rsidRPr="00B61338">
                    <w:rPr>
                      <w:color w:val="auto"/>
                    </w:rPr>
                    <w:t xml:space="preserve"> </w:t>
                  </w:r>
                  <w:r w:rsidR="003C04EB">
                    <w:rPr>
                      <w:color w:val="auto"/>
                    </w:rPr>
                    <w:t>Recorded video clips</w:t>
                  </w:r>
                </w:p>
                <w:p w:rsidR="003C04EB" w:rsidRDefault="003C04EB" w:rsidP="003C04EB">
                  <w:pPr>
                    <w:pStyle w:val="Caption"/>
                    <w:jc w:val="center"/>
                  </w:pPr>
                </w:p>
                <w:p w:rsidR="003C04EB" w:rsidRDefault="003C04EB" w:rsidP="003C04EB">
                  <w:pPr>
                    <w:pStyle w:val="Caption"/>
                    <w:jc w:val="center"/>
                  </w:pPr>
                  <w:r>
                    <w:rPr>
                      <w:color w:val="auto"/>
                    </w:rPr>
                    <w:t xml:space="preserve">  </w:t>
                  </w:r>
                </w:p>
                <w:p w:rsidR="003C04EB" w:rsidRDefault="003C04EB" w:rsidP="003C04EB"/>
              </w:txbxContent>
            </v:textbox>
            <w10:wrap type="square"/>
          </v:shape>
        </w:pict>
      </w:r>
    </w:p>
    <w:p w:rsidR="003C04EB" w:rsidRDefault="00157A89" w:rsidP="003C04EB">
      <w:r>
        <w:pict>
          <v:shape id="_x0000_s1027" type="#_x0000_t202" style="position:absolute;left:0;text-align:left;margin-left:-6.6pt;margin-top:1.85pt;width:151.5pt;height:141.05pt;z-index:251661312;mso-width-relative:margin;mso-height-relative:margin" stroked="f">
            <v:textbox style="mso-next-textbox:#_x0000_s1027">
              <w:txbxContent>
                <w:p w:rsidR="003C04EB" w:rsidRDefault="003C04EB" w:rsidP="00052F79">
                  <w:pPr>
                    <w:keepNext/>
                    <w:tabs>
                      <w:tab w:val="left" w:pos="1386"/>
                    </w:tabs>
                    <w:jc w:val="center"/>
                  </w:pPr>
                  <w:r w:rsidRPr="00465689">
                    <w:rPr>
                      <w:noProof/>
                    </w:rPr>
                    <w:drawing>
                      <wp:inline distT="0" distB="0" distL="0" distR="0">
                        <wp:extent cx="1812942" cy="1494430"/>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7"/>
                                <a:srcRect l="7000" r="3000"/>
                                <a:stretch>
                                  <a:fillRect/>
                                </a:stretch>
                              </pic:blipFill>
                              <pic:spPr>
                                <a:xfrm>
                                  <a:off x="0" y="0"/>
                                  <a:ext cx="1821143" cy="1501190"/>
                                </a:xfrm>
                                <a:prstGeom prst="rect">
                                  <a:avLst/>
                                </a:prstGeom>
                              </pic:spPr>
                            </pic:pic>
                          </a:graphicData>
                        </a:graphic>
                      </wp:inline>
                    </w:drawing>
                  </w:r>
                </w:p>
                <w:p w:rsidR="003C04EB" w:rsidRDefault="00052F79" w:rsidP="00052F79">
                  <w:pPr>
                    <w:pStyle w:val="Caption"/>
                    <w:spacing w:before="120" w:after="0"/>
                    <w:jc w:val="center"/>
                  </w:pPr>
                  <w:r>
                    <w:t xml:space="preserve">Figure </w:t>
                  </w:r>
                  <w:fldSimple w:instr=" SEQ Figure \* ARABIC ">
                    <w:r w:rsidR="007B4EFD">
                      <w:rPr>
                        <w:noProof/>
                      </w:rPr>
                      <w:t>3</w:t>
                    </w:r>
                  </w:fldSimple>
                  <w:r w:rsidR="003C04EB" w:rsidRPr="00B61338">
                    <w:rPr>
                      <w:color w:val="auto"/>
                    </w:rPr>
                    <w:t>- Fully Animated CGI</w:t>
                  </w:r>
                </w:p>
              </w:txbxContent>
            </v:textbox>
            <w10:wrap type="square"/>
          </v:shape>
        </w:pict>
      </w:r>
      <w:r>
        <w:pict>
          <v:shape id="_x0000_s1028" type="#_x0000_t202" style="position:absolute;left:0;text-align:left;margin-left:322.6pt;margin-top:0;width:151.75pt;height:153.45pt;z-index:251663360;mso-width-relative:margin;mso-height-relative:margin" stroked="f">
            <v:textbox style="mso-next-textbox:#_x0000_s1028">
              <w:txbxContent>
                <w:p w:rsidR="003C04EB" w:rsidRDefault="003C04EB" w:rsidP="003C04EB">
                  <w:pPr>
                    <w:pStyle w:val="Caption"/>
                    <w:keepNext/>
                    <w:jc w:val="center"/>
                  </w:pPr>
                  <w:r>
                    <w:rPr>
                      <w:noProof/>
                    </w:rPr>
                    <w:drawing>
                      <wp:inline distT="0" distB="0" distL="0" distR="0">
                        <wp:extent cx="1794456" cy="1446663"/>
                        <wp:effectExtent l="19050" t="0" r="0" b="0"/>
                        <wp:docPr id="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8"/>
                                <a:srcRect l="15000" r="9000"/>
                                <a:stretch>
                                  <a:fillRect/>
                                </a:stretch>
                              </pic:blipFill>
                              <pic:spPr>
                                <a:xfrm>
                                  <a:off x="0" y="0"/>
                                  <a:ext cx="1793123" cy="1445589"/>
                                </a:xfrm>
                                <a:prstGeom prst="rect">
                                  <a:avLst/>
                                </a:prstGeom>
                              </pic:spPr>
                            </pic:pic>
                          </a:graphicData>
                        </a:graphic>
                      </wp:inline>
                    </w:drawing>
                  </w:r>
                </w:p>
                <w:p w:rsidR="003C04EB" w:rsidRPr="00B61338" w:rsidRDefault="00052F79" w:rsidP="00052F79">
                  <w:pPr>
                    <w:pStyle w:val="Caption"/>
                    <w:spacing w:after="0"/>
                    <w:rPr>
                      <w:color w:val="auto"/>
                    </w:rPr>
                  </w:pPr>
                  <w:r>
                    <w:t xml:space="preserve">Figure </w:t>
                  </w:r>
                  <w:fldSimple w:instr=" SEQ Figure \* ARABIC ">
                    <w:r w:rsidR="007B4EFD">
                      <w:rPr>
                        <w:noProof/>
                      </w:rPr>
                      <w:t>4</w:t>
                    </w:r>
                  </w:fldSimple>
                  <w:r w:rsidR="003C04EB" w:rsidRPr="00B61338">
                    <w:rPr>
                      <w:color w:val="auto"/>
                    </w:rPr>
                    <w:t>- Video-taped speaker</w:t>
                  </w:r>
                  <w:r w:rsidR="003C04EB" w:rsidRPr="00B61338">
                    <w:rPr>
                      <w:color w:val="auto"/>
                    </w:rPr>
                    <w:br/>
                    <w:t>rendered in a holographic display</w:t>
                  </w:r>
                </w:p>
                <w:p w:rsidR="003C04EB" w:rsidRDefault="003C04EB" w:rsidP="003C04EB"/>
              </w:txbxContent>
            </v:textbox>
            <w10:wrap type="square"/>
          </v:shape>
        </w:pict>
      </w:r>
      <w:r w:rsidR="003C04EB">
        <w:t xml:space="preserve">  </w:t>
      </w:r>
    </w:p>
    <w:p w:rsidR="003C04EB" w:rsidRPr="009617AF" w:rsidRDefault="003C04EB" w:rsidP="003C04EB">
      <w:pPr>
        <w:pStyle w:val="SIW-Norm"/>
      </w:pPr>
      <w:r w:rsidRPr="009617AF">
        <w:t>Although a virtual human seems as simple as taking remodeling a human using CGI, it turns out that it takes much more brain power-and computing power-to do so effectively. The essential elements that go into the creation of a virtual human with lifelike abilities include natural language processing, machine learning, VR, CGI, and social stimulation. Natural language processing (NLP</w:t>
      </w:r>
      <w:proofErr w:type="gramStart"/>
      <w:r w:rsidRPr="009617AF">
        <w:t>),</w:t>
      </w:r>
      <w:proofErr w:type="gramEnd"/>
      <w:r w:rsidRPr="009617AF">
        <w:t xml:space="preserve"> will be the main focus of this discussion, though the same argument concerning the limits of virtual humans can be made with several of the other components. Natural language processing composes “an area of research and application that explores how computers can be used to understand and manipulate natural language text or speech to do useful things” </w:t>
      </w:r>
      <w:r w:rsidR="0061749B">
        <w:t xml:space="preserve">(Chowdhury, </w:t>
      </w:r>
      <w:r w:rsidR="0061749B" w:rsidRPr="000915E9">
        <w:t>2003).</w:t>
      </w:r>
      <w:r w:rsidRPr="009617AF">
        <w:t xml:space="preserve">Using this definition within the context of virtual environments, NLP tools allow computer technology to recognize voice input, analyze voice tone, provide lifelike conversation, retrieve information, and many other applications in combination with machine learning. Recent developments in NLP have made amazing bounds like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61749B">
        <w:t xml:space="preserve">(Collobert &amp; Weston, </w:t>
      </w:r>
      <w:r w:rsidR="0061749B" w:rsidRPr="000915E9">
        <w:t>2008).</w:t>
      </w:r>
    </w:p>
    <w:p w:rsidR="003C04EB" w:rsidRPr="009617AF" w:rsidRDefault="003C04EB" w:rsidP="003C04EB">
      <w:pPr>
        <w:pStyle w:val="SIW-Norm"/>
      </w:pPr>
    </w:p>
    <w:p w:rsidR="003C04EB" w:rsidRPr="009617AF" w:rsidRDefault="003C04EB" w:rsidP="003C04EB">
      <w:pPr>
        <w:pStyle w:val="SIW-Norm"/>
      </w:pPr>
      <w:r w:rsidRPr="009617AF">
        <w:t xml:space="preserve">Multitudes of applications through interpretation of language have been quickly advanced by the many researchers focusing their studies on the field. At ICT alone, progress has been made in training/learning environments </w:t>
      </w:r>
      <w:r w:rsidR="0061749B">
        <w:t>(Kenny et al., 2007)</w:t>
      </w:r>
      <w:r w:rsidRPr="009617AF">
        <w:t xml:space="preserve">, multi-party </w:t>
      </w:r>
      <w:proofErr w:type="gramStart"/>
      <w:r w:rsidRPr="009617AF">
        <w:t xml:space="preserve">dialogue </w:t>
      </w:r>
      <w:r w:rsidR="0061749B">
        <w:t xml:space="preserve"> (</w:t>
      </w:r>
      <w:proofErr w:type="gramEnd"/>
      <w:r w:rsidR="0061749B">
        <w:t>Traum &amp; Rickel, 2002)</w:t>
      </w:r>
      <w:r w:rsidRPr="009617AF">
        <w:t>, ethi</w:t>
      </w:r>
      <w:r w:rsidR="0061749B">
        <w:t xml:space="preserve">cs and cooperation (Allwood &amp; et al., </w:t>
      </w:r>
      <w:r w:rsidR="00656394">
        <w:t>2000)</w:t>
      </w:r>
      <w:r w:rsidRPr="009617AF">
        <w:t xml:space="preserve">, health applications </w:t>
      </w:r>
      <w:r w:rsidR="00656394">
        <w:t>(Rizzo et al., 2011)</w:t>
      </w:r>
      <w:r>
        <w:t xml:space="preserve"> </w:t>
      </w:r>
      <w:r w:rsidRPr="009617AF">
        <w:t xml:space="preserve">, and representation and reasoning </w:t>
      </w:r>
      <w:r w:rsidR="00656394">
        <w:t>(Swartout et al., 2006)</w:t>
      </w:r>
      <w:r w:rsidRPr="009617AF">
        <w:t xml:space="preserve">. Although automated speech recognition (ASR) is far from perfect, some of the best software, “Google achieved 73.3% of exact recognized phrases with a 15.8% [Word Error Rate]” </w:t>
      </w:r>
      <w:r w:rsidR="00656394">
        <w:t>(Kudryavtsev et al., 2008)</w:t>
      </w:r>
      <w:r w:rsidRPr="009617AF">
        <w:t xml:space="preserve">, and the technology will continue to improve. It is also important to note that many of the errors in ASR are caused by slurred speech, cultural slang, and context, </w:t>
      </w:r>
      <w:r w:rsidRPr="009617AF">
        <w:lastRenderedPageBreak/>
        <w:t xml:space="preserve">stemming from a “lack of consistent units of speech that are trainable and relatively insensitive to context” </w:t>
      </w:r>
      <w:r w:rsidR="00656394">
        <w:t>(Lee, 1988)</w:t>
      </w:r>
      <w:r w:rsidRPr="009617AF">
        <w:t xml:space="preserve">. Although this causes problems when comparing these transcriptions with global data, models can be trained locally to a particular person’s voice or a low resource language using software such as CMU Sphinx from Carnegie Mellon University as applied to languages such as Arabic </w:t>
      </w:r>
      <w:r w:rsidR="00656394">
        <w:t>(Satori, et al., 2011)</w:t>
      </w:r>
      <w:r w:rsidRPr="009617AF">
        <w:t>. Although these customizations and build-your-own languages can be more accurate, they take time to implement and often require increased local processing power. The primary issues with natural language processing as it stands now include machine translation, precision, data storage, efficiency, and computation power-the focus of this paper. All of these will continue to improve with time, as hardware, software, and data storage and availability are areas within which research is eminent and directly valuable. Specifically, the speed and application of quantum computing will engender significant advancement in NLP and its applications: one of which is the impactful area of virtual humans.</w:t>
      </w:r>
    </w:p>
    <w:p w:rsidR="003C04EB" w:rsidRPr="009617AF" w:rsidRDefault="003C04EB" w:rsidP="003C04EB">
      <w:pPr>
        <w:pStyle w:val="SIW-Norm"/>
      </w:pPr>
    </w:p>
    <w:p w:rsidR="003C04EB" w:rsidRPr="009617AF" w:rsidRDefault="003C04EB" w:rsidP="003C04EB">
      <w:pPr>
        <w:pStyle w:val="SIW-Norm"/>
      </w:pPr>
      <w:r w:rsidRPr="009617AF">
        <w:t xml:space="preserve">Virtual humans constitute-and will continue to constitute-a major role in virtual learning, virtual storytelling, VR/AR, and gaming. Within the military context, virtual learning environments provide useful mechanisms for initial training as well as lifelong training. An example of this in implementation can be found in PAL3; “the PAL3 system was designed to accompany a learner throughout their career and mentor them to build and maintain skills” </w:t>
      </w:r>
      <w:r w:rsidR="00656394">
        <w:t>(Swartout, et al., 2016)</w:t>
      </w:r>
      <w:r w:rsidRPr="009617AF">
        <w:t xml:space="preserve">. Modern learning calls for new methods of information transfer. Online tools like Khan Academy, YouTube, Coursera, Lynda, and other massive open online courses (MOOCs) are growing in popularity, and the trend does not seem to be slowing down. </w:t>
      </w:r>
    </w:p>
    <w:p w:rsidR="003C04EB" w:rsidRPr="009617AF" w:rsidRDefault="00157A89" w:rsidP="003C04EB">
      <w:pPr>
        <w:pStyle w:val="SIW-Norm"/>
      </w:pPr>
      <w:r>
        <w:rPr>
          <w:noProof/>
          <w:lang w:eastAsia="zh-TW"/>
        </w:rPr>
        <w:pict>
          <v:shape id="_x0000_s1030" type="#_x0000_t202" style="position:absolute;left:0;text-align:left;margin-left:217.8pt;margin-top:4.85pt;width:269.35pt;height:175.1pt;z-index:251660288;mso-width-relative:margin;mso-height-relative:margin" stroked="f">
            <v:textbox>
              <w:txbxContent>
                <w:p w:rsidR="003C04EB" w:rsidRDefault="003C04EB" w:rsidP="003C04EB">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9"/>
                                <a:stretch>
                                  <a:fillRect/>
                                </a:stretch>
                              </pic:blipFill>
                              <pic:spPr>
                                <a:xfrm>
                                  <a:off x="0" y="0"/>
                                  <a:ext cx="3136288" cy="1769346"/>
                                </a:xfrm>
                                <a:prstGeom prst="rect">
                                  <a:avLst/>
                                </a:prstGeom>
                              </pic:spPr>
                            </pic:pic>
                          </a:graphicData>
                        </a:graphic>
                      </wp:inline>
                    </w:drawing>
                  </w:r>
                </w:p>
                <w:p w:rsidR="003C04EB" w:rsidRPr="00B002BF" w:rsidRDefault="003C04EB" w:rsidP="003C04EB">
                  <w:pPr>
                    <w:pStyle w:val="Caption"/>
                    <w:jc w:val="center"/>
                    <w:rPr>
                      <w:color w:val="auto"/>
                    </w:rPr>
                  </w:pPr>
                  <w:bookmarkStart w:id="3" w:name="_Ref536373318"/>
                  <w:r w:rsidRPr="00B002BF">
                    <w:rPr>
                      <w:color w:val="auto"/>
                    </w:rPr>
                    <w:t xml:space="preserve">Figure </w:t>
                  </w:r>
                  <w:r w:rsidR="00157A89" w:rsidRPr="00B002BF">
                    <w:rPr>
                      <w:color w:val="auto"/>
                    </w:rPr>
                    <w:fldChar w:fldCharType="begin"/>
                  </w:r>
                  <w:r w:rsidRPr="00B002BF">
                    <w:rPr>
                      <w:color w:val="auto"/>
                    </w:rPr>
                    <w:instrText xml:space="preserve"> SEQ Figure \* ARABIC </w:instrText>
                  </w:r>
                  <w:r w:rsidR="00157A89" w:rsidRPr="00B002BF">
                    <w:rPr>
                      <w:color w:val="auto"/>
                    </w:rPr>
                    <w:fldChar w:fldCharType="separate"/>
                  </w:r>
                  <w:r w:rsidR="007B4EFD">
                    <w:rPr>
                      <w:noProof/>
                      <w:color w:val="auto"/>
                    </w:rPr>
                    <w:t>5</w:t>
                  </w:r>
                  <w:r w:rsidR="00157A89" w:rsidRPr="00B002BF">
                    <w:rPr>
                      <w:color w:val="auto"/>
                    </w:rPr>
                    <w:fldChar w:fldCharType="end"/>
                  </w:r>
                  <w:bookmarkEnd w:id="3"/>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3C04EB" w:rsidRDefault="003C04EB" w:rsidP="003C04EB"/>
              </w:txbxContent>
            </v:textbox>
            <w10:wrap type="square"/>
          </v:shape>
        </w:pict>
      </w:r>
    </w:p>
    <w:p w:rsidR="003C04EB" w:rsidRDefault="003C04EB" w:rsidP="003C04EB">
      <w:pPr>
        <w:pStyle w:val="SIW-Norm"/>
      </w:pPr>
      <w:r w:rsidRPr="009617AF">
        <w:t>Storytelling and gaming are also important facets of the virtual field. The New Dimensions in Testimony project “allows people to have an interactive conversation with a human storyteller (a Holocaust survivor) who has recorded a number of dialogue contributions</w:t>
      </w:r>
      <w:r>
        <w:t xml:space="preserve"> </w:t>
      </w:r>
      <w:r w:rsidR="00052F79">
        <w:t>(</w:t>
      </w:r>
      <w:r w:rsidR="00157A89">
        <w:fldChar w:fldCharType="begin"/>
      </w:r>
      <w:r w:rsidR="00052F79">
        <w:instrText xml:space="preserve"> REF _Ref536373318 \h </w:instrText>
      </w:r>
      <w:r w:rsidR="00157A89">
        <w:fldChar w:fldCharType="separate"/>
      </w:r>
      <w:r w:rsidR="00052F79" w:rsidRPr="00B002BF">
        <w:t xml:space="preserve">Figure </w:t>
      </w:r>
      <w:r w:rsidR="00052F79">
        <w:rPr>
          <w:noProof/>
        </w:rPr>
        <w:t>5</w:t>
      </w:r>
      <w:r w:rsidR="00157A89">
        <w:fldChar w:fldCharType="end"/>
      </w:r>
      <w:r>
        <w:t>)</w:t>
      </w:r>
      <w:r w:rsidRPr="009617AF">
        <w:t xml:space="preserve">, including many compelling narratives of his experiences and thoughts” </w:t>
      </w:r>
      <w:r w:rsidR="00656394">
        <w:t>(Traum et al., 2015)</w:t>
      </w:r>
      <w:r w:rsidRPr="009617AF">
        <w:t xml:space="preserve">. The project’s important mission of preserving the stories of Holocaust survivors can be applied to endless amounts of other important persons and tales. Advances in gaming allow for utilization in learning, entertainment, healthcare, and lifelike training for things like combat and critical thinking. The SimCoach system experience aims to “motivate users to take the first step – to empower themselves to seek advice and information regarding their healthcare” </w:t>
      </w:r>
      <w:r>
        <w:t>[13]</w:t>
      </w:r>
      <w:r w:rsidRPr="009617AF">
        <w:t xml:space="preserve">. These virtual systems have been shown to have more success, generating deeper levels of confidence with patients than even live healthcare interactions </w:t>
      </w:r>
      <w:r w:rsidR="00656394">
        <w:t>(Rizzo, et al., 2011)</w:t>
      </w:r>
      <w:r w:rsidRPr="009617AF">
        <w:t>. The successes of these operations so far foreshadow abundant uses in the near future.</w:t>
      </w:r>
    </w:p>
    <w:p w:rsidR="003C04EB" w:rsidRPr="009617AF" w:rsidRDefault="003C04EB" w:rsidP="003C04EB">
      <w:pPr>
        <w:pStyle w:val="SIW-Norm"/>
      </w:pPr>
    </w:p>
    <w:p w:rsidR="003C04EB" w:rsidRPr="009617AF" w:rsidRDefault="003C04EB" w:rsidP="003C04EB">
      <w:pPr>
        <w:pStyle w:val="SIW-Norm"/>
      </w:pPr>
      <w:r w:rsidRPr="009617AF">
        <w:t>The benefits of virtual environments include making the most skilled instructors and resources available, exciting and new learning environments, confidentiality, and global accessibility. Some of the negatives of virtual learning are the difficulties of personalizing learning, live question handling, different learning styles, and similar limits to NLP and other processor and data heavy systems. Future fields of focus will come in streamlining the creation of such virtual environments and interaction. For example, imagine a system which takes in a live recorded interview with a president, or other prominent or knowledgeable figure, and generates an interactive environment in which a user can experience the interview by asking the questions themselves. Or a true virtual assistant that mitigates the need for a secretary</w:t>
      </w:r>
      <w:r>
        <w:t xml:space="preserve"> might be a radical shift in the way the population functions</w:t>
      </w:r>
      <w:r w:rsidRPr="009617AF">
        <w:t>. Such things are already in existence, and they will only become more prominent and powerful. However, the need for extensive processing power, efficiency, and data storage and transfer remains a limiting factor for such developments. We believe that the aforementioned applications call for considerable further exploration and research and propose a quantum annealing approach to deep learning its virtual applications.</w:t>
      </w:r>
    </w:p>
    <w:p w:rsidR="003C04EB" w:rsidRDefault="003C04EB" w:rsidP="000E22B4"/>
    <w:p w:rsidR="003C04EB" w:rsidRDefault="003C04EB" w:rsidP="000E22B4"/>
    <w:p w:rsidR="00B57D69" w:rsidRDefault="00B57D69" w:rsidP="00B57D69">
      <w:pPr>
        <w:pStyle w:val="Heading2"/>
      </w:pPr>
      <w:r>
        <w:t>Artificial Intelligence Capabilities</w:t>
      </w:r>
    </w:p>
    <w:p w:rsidR="00B57D69" w:rsidRDefault="00B57D69" w:rsidP="000E22B4"/>
    <w:p w:rsidR="00AD436D" w:rsidRDefault="00AD436D" w:rsidP="000E22B4">
      <w:r>
        <w:lastRenderedPageBreak/>
        <w:t xml:space="preserve">In order to support advanced techniques like generating germane and productive questions for the student, some advances in technology are required.  These include both algorithmic innovations to properly assess the goals, language input and other sensor data to evaluate the best response or question.  The state of the art, as discussed above, gives very good results in responding to questions or other querying inputs from the student, but a </w:t>
      </w:r>
      <w:r w:rsidR="003C04EB">
        <w:t>grand challenge</w:t>
      </w:r>
      <w:r>
        <w:t xml:space="preserve"> in simulation is the generation of appropriate questions for the student.</w:t>
      </w:r>
    </w:p>
    <w:p w:rsidR="00B57D69" w:rsidRDefault="00B57D69" w:rsidP="000E22B4"/>
    <w:p w:rsidR="00A3718C" w:rsidRDefault="0052542A" w:rsidP="00A3718C">
      <w:r>
        <w:t>One of the more interesting areas of improvement in computation is the fielding of operational quantum computers</w:t>
      </w:r>
      <w:r w:rsidR="00C42D21">
        <w:t xml:space="preserve">. </w:t>
      </w:r>
      <w:r w:rsidR="00A3718C">
        <w:t xml:space="preserve">According to Gordon Moore himself, the end of Moore's Law is nigh. It is increasingly daunting to continue on the current transistor-based path for increasing the traditional digital computing capability that can be applied to test and evaluation and other national security </w:t>
      </w:r>
      <w:r w:rsidR="003A53AA">
        <w:t>challenges</w:t>
      </w:r>
      <w:r w:rsidR="00A3718C">
        <w:t>. The capa</w:t>
      </w:r>
      <w:r w:rsidR="003A53AA">
        <w:t>bility growth of individual pro</w:t>
      </w:r>
      <w:r w:rsidR="00A3718C">
        <w:t>cessors is stagnating and the number of such cores needed is now increasing exponentially in high performance computing systems. Size and power demands now often constrain the computational power that can be brought to bear on defense problems. In this environment, there is a growing interest in alternatives to commercial, off-the-shelf (COTS) technology, which would have seemed inconceivable for most of the last two decades. In many ways, this may be the reemergence of the purpose built systems of earlier decades. New installations include specialized systems such as the Anton at D. E. Shaw Research</w:t>
      </w:r>
      <w:proofErr w:type="gramStart"/>
      <w:r w:rsidR="007B4EFD">
        <w:t>,</w:t>
      </w:r>
      <w:r w:rsidR="00A3718C">
        <w:t xml:space="preserve">  It</w:t>
      </w:r>
      <w:proofErr w:type="gramEnd"/>
      <w:r w:rsidR="00A3718C">
        <w:t xml:space="preserve"> performs certain biomolecular simulations nearly two orders-of-magnitude faster than the largest general purpose computers. Others are looking beyond CMOS to exploit other physical phenomenon, e.g. quantum computing.</w:t>
      </w:r>
    </w:p>
    <w:p w:rsidR="00A3718C" w:rsidRDefault="00157A89" w:rsidP="00A3718C">
      <w:r>
        <w:rPr>
          <w:noProof/>
        </w:rPr>
        <w:pict>
          <v:shape id="Text Box 8" o:spid="_x0000_s1036" type="#_x0000_t202" style="position:absolute;left:0;text-align:left;margin-left:333.2pt;margin-top:11.4pt;width:144.65pt;height:181.5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7B4EFD" w:rsidRPr="00646A17" w:rsidRDefault="007B4EFD" w:rsidP="007B4EFD">
                  <w:pPr>
                    <w:jc w:val="center"/>
                    <w:rPr>
                      <w:b/>
                    </w:rPr>
                  </w:pPr>
                  <w:r w:rsidRPr="00646A17">
                    <w:rPr>
                      <w:b/>
                      <w:noProof/>
                    </w:rPr>
                    <w:drawing>
                      <wp:inline distT="0" distB="0" distL="0" distR="0">
                        <wp:extent cx="1674791" cy="1873250"/>
                        <wp:effectExtent l="19050" t="0" r="1609" b="0"/>
                        <wp:docPr id="18"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677096" cy="1875829"/>
                                </a:xfrm>
                                <a:prstGeom prst="rect">
                                  <a:avLst/>
                                </a:prstGeom>
                              </pic:spPr>
                            </pic:pic>
                          </a:graphicData>
                        </a:graphic>
                      </wp:inline>
                    </w:drawing>
                  </w:r>
                </w:p>
                <w:p w:rsidR="007B4EFD" w:rsidRPr="00646A17" w:rsidRDefault="007B4EFD" w:rsidP="007B4EFD">
                  <w:pPr>
                    <w:jc w:val="center"/>
                    <w:rPr>
                      <w:b/>
                    </w:rPr>
                  </w:pPr>
                </w:p>
                <w:p w:rsidR="007B4EFD" w:rsidRPr="00646A17" w:rsidRDefault="007B4EFD" w:rsidP="007B4EFD">
                  <w:pPr>
                    <w:pStyle w:val="Caption"/>
                    <w:rPr>
                      <w:b w:val="0"/>
                    </w:rPr>
                  </w:pPr>
                  <w:bookmarkStart w:id="4" w:name="_Ref536390708"/>
                  <w:proofErr w:type="gramStart"/>
                  <w:r>
                    <w:t xml:space="preserve">Figure </w:t>
                  </w:r>
                  <w:fldSimple w:instr=" SEQ Figure \* ARABIC ">
                    <w:r>
                      <w:rPr>
                        <w:noProof/>
                      </w:rPr>
                      <w:t>6</w:t>
                    </w:r>
                  </w:fldSimple>
                  <w:bookmarkEnd w:id="4"/>
                  <w:r w:rsidRPr="00B84A25">
                    <w:rPr>
                      <w:sz w:val="20"/>
                      <w:szCs w:val="20"/>
                    </w:rPr>
                    <w:t>.</w:t>
                  </w:r>
                  <w:proofErr w:type="gramEnd"/>
                  <w:r>
                    <w:rPr>
                      <w:sz w:val="20"/>
                      <w:szCs w:val="20"/>
                    </w:rPr>
                    <w:t xml:space="preserve"> USC-LMC D</w:t>
                  </w:r>
                  <w:r w:rsidRPr="00B84A25">
                    <w:rPr>
                      <w:sz w:val="20"/>
                      <w:szCs w:val="20"/>
                    </w:rPr>
                    <w:t>-</w:t>
                  </w:r>
                  <w:r w:rsidRPr="00646A17">
                    <w:t xml:space="preserve">Wave </w:t>
                  </w:r>
                </w:p>
              </w:txbxContent>
            </v:textbox>
            <w10:wrap type="square"/>
          </v:shape>
        </w:pict>
      </w:r>
    </w:p>
    <w:p w:rsidR="00A3718C" w:rsidRDefault="00A3718C" w:rsidP="00A3718C">
      <w:r>
        <w:t>Quantum computing has been considered a promising extension of computational capability since the seminal paper from the Nobel L</w:t>
      </w:r>
      <w:r w:rsidR="007B4EFD">
        <w:t xml:space="preserve">aureate Richard Feynman in 1982 </w:t>
      </w:r>
      <w:r w:rsidR="003438B0">
        <w:t>(Feynman, 1982)</w:t>
      </w:r>
      <w:r>
        <w:t>, in which he said “… with a suitable class of quantum machines you could imitate any quantum system, including the physical world.</w:t>
      </w:r>
      <w:proofErr w:type="gramStart"/>
      <w:r>
        <w:t>”.</w:t>
      </w:r>
      <w:proofErr w:type="gramEnd"/>
      <w:r>
        <w:t xml:space="preserve"> The authors are unaware of any such “general purpose” quantum computer that is even nearing operation. However, a more manageable adiabatic quantum annealing device has been conceived, designed, produced, and delivered to the University of Southern California. </w:t>
      </w:r>
      <w:r w:rsidR="00157A89">
        <w:fldChar w:fldCharType="begin"/>
      </w:r>
      <w:r w:rsidR="007B4EFD">
        <w:instrText xml:space="preserve"> REF _Ref536390708 \h </w:instrText>
      </w:r>
      <w:r w:rsidR="00157A89">
        <w:fldChar w:fldCharType="separate"/>
      </w:r>
      <w:r w:rsidR="007B4EFD">
        <w:t xml:space="preserve">Figure </w:t>
      </w:r>
      <w:r w:rsidR="007B4EFD">
        <w:rPr>
          <w:noProof/>
        </w:rPr>
        <w:t>6</w:t>
      </w:r>
      <w:r w:rsidR="00157A89">
        <w:fldChar w:fldCharType="end"/>
      </w:r>
      <w:r>
        <w:t xml:space="preserve">shows the D-Wave Two, as installed in the USC – Lockheed Martin Quantum Computing Center (QCC) at the Information Sciences Institute (ISI) in Marina </w:t>
      </w:r>
      <w:proofErr w:type="gramStart"/>
      <w:r>
        <w:t>del</w:t>
      </w:r>
      <w:proofErr w:type="gramEnd"/>
      <w:r>
        <w:t xml:space="preserve"> Rey </w:t>
      </w:r>
    </w:p>
    <w:p w:rsidR="00A3718C" w:rsidRDefault="00A3718C" w:rsidP="00A3718C"/>
    <w:p w:rsidR="00A3718C" w:rsidRDefault="00A3718C" w:rsidP="00A3718C">
      <w:r>
        <w:t xml:space="preserve">In recent years, other authors have touted quantum computing’s ability to produce more power, using terms like “magic” to stir the imagination and whet the appetites of the user community. . They point out that the capability of quantum computers arises from the different way they encode information. Digital computers represent information with transistor-based switches having a state of 0 or 1, labeled a bit. In contrast, the basic unit of quantum computer operation, the quantum bit or qubit, can exist simultaneously as 0 and 1, with the probability of each being given by a numerical coefficient, a condition physicists call “superposition”. The quantum computer can act on all these possible states simultaneously. </w:t>
      </w:r>
    </w:p>
    <w:p w:rsidR="00A3718C" w:rsidRDefault="00A3718C" w:rsidP="00A3718C">
      <w:r>
        <w:t>.</w:t>
      </w:r>
    </w:p>
    <w:p w:rsidR="00A3718C" w:rsidRDefault="00A3718C" w:rsidP="00A3718C">
      <w:r>
        <w:t xml:space="preserve">The solution space of these types of problems can conceptually be thought of as a three-dimensional landscape. Various solutions are depicted as peaks and valleys. In the classic minimization problem, the challenge is to find the highest, or in this case, lowest of these, and not be misled by local minima. If the landscape is big enough, one cannot simply evaluate all of the locations to find the minimum. There is a metaphor that may make this clearer. Imagine there is a table-top model of this three-dimensional problem landscape, with countless peaks and depressions representing the </w:t>
      </w:r>
      <w:proofErr w:type="gramStart"/>
      <w:r>
        <w:t>extrema, that</w:t>
      </w:r>
      <w:proofErr w:type="gramEnd"/>
      <w:r>
        <w:t xml:space="preserve"> is the maxima and minima of the solution.</w:t>
      </w:r>
    </w:p>
    <w:p w:rsidR="00A3718C" w:rsidRDefault="00A3718C" w:rsidP="00A3718C"/>
    <w:p w:rsidR="00A3718C" w:rsidRDefault="00A3718C" w:rsidP="00A3718C">
      <w:r>
        <w:t>If there were numerous such peaks and valleys, similar to the simple peak and valley shown in Figure 2, marbles could be dropped on the complex space, and watched as they rolled downhill. They might get stuck in local mini-mum, with on</w:t>
      </w:r>
      <w:r w:rsidR="003A53AA">
        <w:t>e or more hillsides standing be</w:t>
      </w:r>
      <w:r>
        <w:t>tween them and the true, global minimum. A technique to improve this method would be to shake the table whenever a marble comes to a stop. If the marble is in a shallow valley, the shaking may cause the marble to roll uphill out of the valley, and then go downhill until it reaches another, lower minimum. The combination of dropping thousands of marbles and shaking the table in a controlled fashion is akin to the process know as simulated annealing. Shaking the table is equivalent to increasing the metaphorical temperature.</w:t>
      </w:r>
    </w:p>
    <w:p w:rsidR="00A3718C" w:rsidRDefault="00A3718C" w:rsidP="00A3718C"/>
    <w:p w:rsidR="00A3718C" w:rsidRDefault="00A3718C" w:rsidP="00A3718C">
      <w:r>
        <w:t xml:space="preserve">Quantum annealing represents an even more powerful heuristic, in which a mechanism is provided </w:t>
      </w:r>
      <w:proofErr w:type="gramStart"/>
      <w:r>
        <w:t>that</w:t>
      </w:r>
      <w:proofErr w:type="gramEnd"/>
      <w:r>
        <w:t xml:space="preserve"> is capable of "tunneling through" the walls which separate local minor minima from the global minimum   . No longer is it </w:t>
      </w:r>
      <w:r>
        <w:lastRenderedPageBreak/>
        <w:t xml:space="preserve">necessary to climb the walls and traverse the surface of an optimization function, as required by classical annealing algorithms. Of course, real problems usually contain a surface with many more than three dimensions. An N dimensional surface where N is much larger than three is difficult for most to visualize, but the annealing described above, can be used to find the minimum value of a surface representing a solution. </w:t>
      </w:r>
    </w:p>
    <w:p w:rsidR="00A3718C" w:rsidRDefault="00A3718C" w:rsidP="00A3718C"/>
    <w:p w:rsidR="00A3718C" w:rsidRDefault="00A3718C" w:rsidP="00A3718C">
      <w:r>
        <w:t xml:space="preserve">D-Wave is a small company that makes an adiabatic quantum annealing device which operates at a temperature of below 20 </w:t>
      </w:r>
      <w:proofErr w:type="spellStart"/>
      <w:proofErr w:type="gramStart"/>
      <w:r>
        <w:t>milliKelvin</w:t>
      </w:r>
      <w:proofErr w:type="spellEnd"/>
      <w:proofErr w:type="gramEnd"/>
      <w:r>
        <w:t>. This is barely above absolute zero or -273.15° Celsius, the temperature at which entropy stops, eliminating thermal energy. Published papers are available to detail the technical issues faced and overcome to produce an operating quantum annealer. This paper will not dwell on that here. A good compendium of detailed technical papers is to be found at http://www.dwavesys.com/ en/</w:t>
      </w:r>
      <w:proofErr w:type="gramStart"/>
      <w:r>
        <w:t>publications.html .</w:t>
      </w:r>
      <w:proofErr w:type="gramEnd"/>
      <w:r>
        <w:t xml:space="preserve"> </w:t>
      </w:r>
    </w:p>
    <w:p w:rsidR="00A3718C" w:rsidRDefault="00157A89" w:rsidP="00A3718C">
      <w:r>
        <w:rPr>
          <w:noProof/>
        </w:rPr>
        <w:pict>
          <v:shape id="Text Box 11" o:spid="_x0000_s1035" type="#_x0000_t202" style="position:absolute;left:0;text-align:left;margin-left:268pt;margin-top:11.3pt;width:210.4pt;height:153.0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style="mso-next-textbox:#Text Box 11">
              <w:txbxContent>
                <w:p w:rsidR="003A53AA" w:rsidRDefault="003A53AA" w:rsidP="003A53AA">
                  <w:pPr>
                    <w:jc w:val="center"/>
                    <w:rPr>
                      <w:b/>
                    </w:rPr>
                  </w:pPr>
                  <w:r w:rsidRPr="00B81A59">
                    <w:rPr>
                      <w:b/>
                      <w:noProof/>
                    </w:rPr>
                    <w:drawing>
                      <wp:inline distT="0" distB="0" distL="0" distR="0">
                        <wp:extent cx="2178240" cy="1456025"/>
                        <wp:effectExtent l="19050" t="0" r="0" b="0"/>
                        <wp:docPr id="30"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21"/>
                                <a:srcRect b="7085"/>
                                <a:stretch>
                                  <a:fillRect/>
                                </a:stretch>
                              </pic:blipFill>
                              <pic:spPr>
                                <a:xfrm>
                                  <a:off x="0" y="0"/>
                                  <a:ext cx="2179040" cy="1456560"/>
                                </a:xfrm>
                                <a:prstGeom prst="rect">
                                  <a:avLst/>
                                </a:prstGeom>
                              </pic:spPr>
                            </pic:pic>
                          </a:graphicData>
                        </a:graphic>
                      </wp:inline>
                    </w:drawing>
                  </w:r>
                </w:p>
                <w:p w:rsidR="003A53AA" w:rsidRDefault="003A53AA" w:rsidP="003A53AA">
                  <w:pPr>
                    <w:jc w:val="center"/>
                    <w:rPr>
                      <w:b/>
                    </w:rPr>
                  </w:pPr>
                </w:p>
                <w:p w:rsidR="003A53AA" w:rsidRPr="00D01750" w:rsidRDefault="003A53AA" w:rsidP="003A53AA">
                  <w:pPr>
                    <w:pStyle w:val="Caption"/>
                    <w:jc w:val="center"/>
                    <w:rPr>
                      <w:b w:val="0"/>
                      <w:sz w:val="20"/>
                      <w:szCs w:val="20"/>
                    </w:rPr>
                  </w:pPr>
                  <w:r>
                    <w:t xml:space="preserve">Figure </w:t>
                  </w:r>
                  <w:fldSimple w:instr=" SEQ Figure \* ARABIC ">
                    <w:r w:rsidR="007B4EFD">
                      <w:rPr>
                        <w:noProof/>
                      </w:rPr>
                      <w:t>7</w:t>
                    </w:r>
                  </w:fldSimple>
                  <w:r>
                    <w:t xml:space="preserve"> - </w:t>
                  </w:r>
                  <w:r w:rsidRPr="00D01750">
                    <w:rPr>
                      <w:sz w:val="20"/>
                      <w:szCs w:val="20"/>
                    </w:rPr>
                    <w:t>D-Wave Qubit Processor</w:t>
                  </w:r>
                </w:p>
              </w:txbxContent>
            </v:textbox>
            <w10:wrap type="square"/>
          </v:shape>
        </w:pict>
      </w:r>
    </w:p>
    <w:p w:rsidR="00A3718C" w:rsidRDefault="00A3718C" w:rsidP="00A3718C">
      <w:r>
        <w:t xml:space="preserve">As early as 2007, D-Wave was demonstrating an operating 28 qubit machine. In 2011, D-Wave announced the 128 cubit D-Wave </w:t>
      </w:r>
      <w:proofErr w:type="gramStart"/>
      <w:r>
        <w:t>One ,</w:t>
      </w:r>
      <w:proofErr w:type="gramEnd"/>
      <w:r>
        <w:t xml:space="preserve"> and Lockheed Martin acquired one for the USC – Lockheed Martin Quantum Computing Center (QCC), at USC’s Information Sciences Institute (ISI). This has since</w:t>
      </w:r>
      <w:r w:rsidR="003A53AA">
        <w:t xml:space="preserve"> been upgraded to a 2048</w:t>
      </w:r>
      <w:r>
        <w:t xml:space="preserve"> qubit system. Small manufacturing variations and trapped flux in the superconducting circuits resulted in </w:t>
      </w:r>
      <w:r w:rsidR="003A53AA">
        <w:t>just under that number</w:t>
      </w:r>
      <w:proofErr w:type="gramStart"/>
      <w:r w:rsidR="003A53AA">
        <w:t>.</w:t>
      </w:r>
      <w:r>
        <w:t>.</w:t>
      </w:r>
      <w:proofErr w:type="gramEnd"/>
      <w:r>
        <w:t xml:space="preserve"> While this size is capable of generating interesting results, it is not yet big enough to set world records against gargantuan clusters. Figure 3 depicts the chip used in the D-Wave One.</w:t>
      </w:r>
    </w:p>
    <w:p w:rsidR="00A3718C" w:rsidRDefault="00A3718C" w:rsidP="00A3718C"/>
    <w:p w:rsidR="00A3718C" w:rsidRDefault="00A3718C" w:rsidP="00A3718C">
      <w:r>
        <w:t>One of the interesting issues raised by skeptics has been whether the D-Wave is actually doing anyt</w:t>
      </w:r>
      <w:r w:rsidR="007B4EFD">
        <w:t>hing “quantum” in its operation</w:t>
      </w:r>
      <w:r>
        <w:t xml:space="preserve">. USC and Lockheed Martin are now performing enough calculations at the USC- Lockheed Martin Quantum Computing Center to answer that question and explore the potential of adiabatic quantum annealing. The scientists there, together with their colleagues, have independently verified that the D-Wave is in fact an adiabatic quantum </w:t>
      </w:r>
      <w:proofErr w:type="gramStart"/>
      <w:r>
        <w:t>annealer .</w:t>
      </w:r>
      <w:proofErr w:type="gramEnd"/>
    </w:p>
    <w:p w:rsidR="00A3718C" w:rsidRDefault="00A3718C" w:rsidP="00A3718C"/>
    <w:p w:rsidR="00A3718C" w:rsidRDefault="00A3718C" w:rsidP="00A3718C">
      <w:r>
        <w:t xml:space="preserve">There is on-going study of the physics of the D-Wave device, among other things, trying to ascertain its performance relative to classical computers. The NP-hard problems that the D-Wave machine is designed to solve are in general, too hard to solve exactly in any reasonable amount of time on a normal computer. Instead, heuristics are used that will hopefully get the solution, or a close enough approximation, in a short period of time. Simulated annealing is such a heuristic in that there is no guarantee that one will not get trapped in a local mini-mum. Quantum annealing is too. So, a straight up comparison of the relative performance of quantum annealing to a practical alternative is to benchmark it against simulated annealing. </w:t>
      </w:r>
    </w:p>
    <w:p w:rsidR="00A3718C" w:rsidRDefault="00A3718C" w:rsidP="00A3718C"/>
    <w:p w:rsidR="00A3718C" w:rsidRDefault="00A3718C" w:rsidP="00A3718C">
      <w:r>
        <w:t>The annealing process typically identifies a set of local minima, the smallest of which is likely the global minimum. The D-Wave returns a histogram of solutions it finds, and most of them will be at, or near, the global minimum. If the global minimum is the only answer of interest, these other data may be discarded. In the case of decision support for the battlefield commander, the location of the local minima across the solution sets may be of significant interest. The quantum annealer can produce output establishing the location of these minima in the n-dimensional solution space. The analyst would then be able to equate varying outcomes with varying input parameters, e.g. strength of forces engaged, plans of attack, terrain, weather, etc. After all, given ambiguity in the inputs provided, the global minimum may not in fact be the desired outcome. The authors’ experience in combat zones would suggest most commanders would prefer knowing a list of probable outcomes and possible surprises for a proposed course of action instead of a single oracle-like pronouncement.</w:t>
      </w:r>
    </w:p>
    <w:p w:rsidR="00081F93" w:rsidRDefault="00081F93" w:rsidP="000E22B4"/>
    <w:p w:rsidR="00B47D47" w:rsidRDefault="00C42D21" w:rsidP="00C42D21">
      <w:pPr>
        <w:pStyle w:val="Heading1"/>
      </w:pPr>
      <w:r>
        <w:t>Conclusions</w:t>
      </w:r>
    </w:p>
    <w:p w:rsidR="00C42D21" w:rsidRDefault="00C42D21" w:rsidP="000E22B4">
      <w:r>
        <w:t xml:space="preserve"> </w:t>
      </w:r>
    </w:p>
    <w:p w:rsidR="00C42D21" w:rsidRDefault="00C42D21" w:rsidP="000E22B4">
      <w:r>
        <w:t xml:space="preserve">There is widespread interest in, but little to for, improving both the critical thinking and the communication skills in US students.  Well considered ideas and ideals are clearly set forth in many of the standards of the day (NGSS and Common Core), yet those working with students after graduation continue to complain about how well these recent products perform.  Alternatives to the lecture based pedagogy are well known and much espoused but the actual </w:t>
      </w:r>
      <w:r>
        <w:lastRenderedPageBreak/>
        <w:t>capability is reported to be missing still.  Modern M &amp; S technology can effectively augment that classroom instructor.  Further algorithm development and</w:t>
      </w:r>
      <w:r w:rsidR="00A3718C">
        <w:t xml:space="preserve"> hardware advancement will come.</w:t>
      </w:r>
    </w:p>
    <w:p w:rsidR="00C42D21" w:rsidRDefault="00C42D21" w:rsidP="000E22B4"/>
    <w:p w:rsidR="003D2540" w:rsidRDefault="003D2540" w:rsidP="000E22B4">
      <w:pPr>
        <w:pStyle w:val="Heading1"/>
      </w:pPr>
      <w:r>
        <w:t>ACKNOWLEDGEMENTS</w:t>
      </w:r>
    </w:p>
    <w:p w:rsidR="003D2540" w:rsidRDefault="003D2540" w:rsidP="000E22B4"/>
    <w:p w:rsidR="003D2540" w:rsidRDefault="002E64B8" w:rsidP="000E22B4">
      <w:pPr>
        <w:rPr>
          <w:iCs/>
        </w:rPr>
      </w:pPr>
      <w:r>
        <w:t xml:space="preserve">This paper would not have been possible save for the time and effort of Judith Jacobus, Erik Elstad, Laurel Davis and Johna Walsh, all experienced teachers who work in the Los Angeles Basin in Southern California.  </w:t>
      </w:r>
      <w:r w:rsidR="00C42D21">
        <w:t>Also the support and encouragement from Professor William McComas engendered the sustaining interest in these topics</w:t>
      </w:r>
      <w:proofErr w:type="gramStart"/>
      <w:r w:rsidR="00C42D21">
        <w:t>.</w:t>
      </w:r>
      <w:r w:rsidR="009F4744">
        <w:rPr>
          <w:iCs/>
        </w:rPr>
        <w:t>.</w:t>
      </w:r>
      <w:proofErr w:type="gramEnd"/>
    </w:p>
    <w:p w:rsidR="003D2540" w:rsidRDefault="003D2540" w:rsidP="000E22B4">
      <w:pPr>
        <w:pStyle w:val="Heading1"/>
      </w:pPr>
    </w:p>
    <w:p w:rsidR="00065002" w:rsidRPr="00065002" w:rsidRDefault="00065002" w:rsidP="000E22B4"/>
    <w:p w:rsidR="003D2540" w:rsidRDefault="003D2540" w:rsidP="000E22B4">
      <w:pPr>
        <w:pStyle w:val="Heading1"/>
      </w:pPr>
      <w:r>
        <w:t xml:space="preserve">REFERENCES </w:t>
      </w:r>
    </w:p>
    <w:p w:rsidR="00A7492D" w:rsidRDefault="00A7492D" w:rsidP="000E22B4"/>
    <w:p w:rsidR="00583E97" w:rsidRPr="000915E9" w:rsidRDefault="00583E97" w:rsidP="00583E97">
      <w:pPr>
        <w:pStyle w:val="SIW-Ref"/>
        <w:keepLines/>
        <w:numPr>
          <w:ilvl w:val="0"/>
          <w:numId w:val="0"/>
        </w:numPr>
        <w:tabs>
          <w:tab w:val="clear" w:pos="450"/>
        </w:tabs>
        <w:ind w:left="450" w:right="180" w:hanging="270"/>
      </w:pPr>
      <w:proofErr w:type="gramStart"/>
      <w:r w:rsidRPr="000915E9">
        <w:t>Allwood, J., Traum, D., &amp; Jokinen, K. (2000).</w:t>
      </w:r>
      <w:proofErr w:type="gramEnd"/>
      <w:r w:rsidRPr="000915E9">
        <w:t xml:space="preserve"> </w:t>
      </w:r>
      <w:proofErr w:type="gramStart"/>
      <w:r w:rsidRPr="000915E9">
        <w:t>“Cooperation, dialogue and ethics.”</w:t>
      </w:r>
      <w:proofErr w:type="gramEnd"/>
      <w:r w:rsidRPr="000915E9">
        <w:t xml:space="preserve"> International Journal of Human-Computer Studies, 53(6), 871-914.</w:t>
      </w:r>
    </w:p>
    <w:p w:rsidR="00583E97" w:rsidRDefault="00583E97" w:rsidP="00583E97">
      <w:pPr>
        <w:spacing w:before="60"/>
        <w:ind w:left="450" w:right="180" w:hanging="270"/>
      </w:pPr>
      <w:proofErr w:type="gramStart"/>
      <w:r w:rsidRPr="00DB543B">
        <w:t>Alt, D. (2015).</w:t>
      </w:r>
      <w:proofErr w:type="gramEnd"/>
      <w:r w:rsidRPr="00DB543B">
        <w:t xml:space="preserve"> </w:t>
      </w:r>
      <w:proofErr w:type="gramStart"/>
      <w:r w:rsidRPr="00DB543B">
        <w:t xml:space="preserve">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ducation.</w:t>
      </w:r>
      <w:proofErr w:type="gramEnd"/>
      <w:r w:rsidRPr="00DB543B">
        <w:t xml:space="preserve"> </w:t>
      </w:r>
      <w:proofErr w:type="gramStart"/>
      <w:r w:rsidRPr="00583E97">
        <w:rPr>
          <w:i/>
        </w:rPr>
        <w:t>Learning Environments Research,</w:t>
      </w:r>
      <w:r w:rsidRPr="00DB543B">
        <w:t xml:space="preserve"> 18(1), 47-67.</w:t>
      </w:r>
      <w:proofErr w:type="gramEnd"/>
    </w:p>
    <w:p w:rsidR="00583E97" w:rsidRPr="000915E9" w:rsidRDefault="00583E97" w:rsidP="00583E97">
      <w:pPr>
        <w:pStyle w:val="SIW-Ref"/>
        <w:keepLines/>
        <w:numPr>
          <w:ilvl w:val="0"/>
          <w:numId w:val="0"/>
        </w:numPr>
        <w:tabs>
          <w:tab w:val="clear" w:pos="450"/>
        </w:tabs>
        <w:ind w:left="450" w:right="180" w:hanging="270"/>
      </w:pPr>
      <w:r>
        <w:t>C</w:t>
      </w:r>
      <w:r w:rsidRPr="000915E9">
        <w:t xml:space="preserve">howdhury, G. G. (2003). </w:t>
      </w:r>
      <w:proofErr w:type="gramStart"/>
      <w:r w:rsidRPr="000915E9">
        <w:t>“Natural language processing.”</w:t>
      </w:r>
      <w:proofErr w:type="gramEnd"/>
      <w:r w:rsidRPr="000915E9">
        <w:t xml:space="preserve"> </w:t>
      </w:r>
      <w:proofErr w:type="gramStart"/>
      <w:r w:rsidRPr="000915E9">
        <w:t>Annual review of information science and technology, 37(1), 51-89.</w:t>
      </w:r>
      <w:proofErr w:type="gramEnd"/>
    </w:p>
    <w:p w:rsidR="00583E97" w:rsidRDefault="00583E97" w:rsidP="00583E97">
      <w:pPr>
        <w:pStyle w:val="SIW-Ref"/>
        <w:keepLines/>
        <w:numPr>
          <w:ilvl w:val="0"/>
          <w:numId w:val="0"/>
        </w:numPr>
        <w:tabs>
          <w:tab w:val="clear" w:pos="450"/>
        </w:tabs>
        <w:ind w:left="450" w:right="180" w:hanging="270"/>
      </w:pPr>
      <w:proofErr w:type="gramStart"/>
      <w:r w:rsidRPr="000915E9">
        <w:t>Collobert, R., &amp; Weston, J. (2008, July).</w:t>
      </w:r>
      <w:proofErr w:type="gramEnd"/>
      <w:r w:rsidRPr="000915E9">
        <w:t xml:space="preserve"> “A unified architecture for natural language processing: Deep neural networks with multitask learning.” </w:t>
      </w:r>
      <w:proofErr w:type="gramStart"/>
      <w:r w:rsidRPr="000915E9">
        <w:t>In Proceedings of the 25th international conference on Machine learning (pp. 160-167).</w:t>
      </w:r>
      <w:proofErr w:type="gramEnd"/>
      <w:r w:rsidRPr="000915E9">
        <w:t xml:space="preserve"> </w:t>
      </w:r>
      <w:proofErr w:type="gramStart"/>
      <w:r w:rsidRPr="000915E9">
        <w:t>ACM.</w:t>
      </w:r>
      <w:proofErr w:type="gramEnd"/>
    </w:p>
    <w:p w:rsidR="003438B0" w:rsidRPr="000915E9" w:rsidRDefault="003438B0" w:rsidP="00583E97">
      <w:pPr>
        <w:pStyle w:val="SIW-Ref"/>
        <w:keepLines/>
        <w:numPr>
          <w:ilvl w:val="0"/>
          <w:numId w:val="0"/>
        </w:numPr>
        <w:tabs>
          <w:tab w:val="clear" w:pos="450"/>
        </w:tabs>
        <w:ind w:left="450" w:right="180" w:hanging="270"/>
      </w:pPr>
      <w:r w:rsidRPr="003438B0">
        <w:t xml:space="preserve">Feynman, </w:t>
      </w:r>
      <w:proofErr w:type="gramStart"/>
      <w:r>
        <w:t>R..</w:t>
      </w:r>
      <w:proofErr w:type="gramEnd"/>
      <w:r>
        <w:t xml:space="preserve"> (</w:t>
      </w:r>
      <w:r w:rsidRPr="003438B0">
        <w:t>1981</w:t>
      </w:r>
      <w:r>
        <w:t xml:space="preserve">), </w:t>
      </w:r>
      <w:r w:rsidRPr="003438B0">
        <w:t>Sim</w:t>
      </w:r>
      <w:r>
        <w:t>ulating Physics with Computers</w:t>
      </w:r>
      <w:r w:rsidRPr="003438B0">
        <w:rPr>
          <w:i/>
        </w:rPr>
        <w:t>, International Journal of Theoretical Physics</w:t>
      </w:r>
      <w:r w:rsidRPr="003438B0">
        <w:t>, Vol 21, Nos. 6/7</w:t>
      </w:r>
    </w:p>
    <w:p w:rsidR="00583E97" w:rsidRPr="000915E9" w:rsidRDefault="00583E97" w:rsidP="00583E97">
      <w:pPr>
        <w:pStyle w:val="SIW-Ref"/>
        <w:numPr>
          <w:ilvl w:val="0"/>
          <w:numId w:val="0"/>
        </w:numPr>
        <w:tabs>
          <w:tab w:val="clear" w:pos="450"/>
        </w:tabs>
        <w:ind w:left="450" w:right="180" w:hanging="270"/>
      </w:pPr>
      <w:proofErr w:type="gramStart"/>
      <w:r w:rsidRPr="000915E9">
        <w:t>Kenny, P., Hartholt, A., Gratch, J., Swartout, W., Traum, D., Marsella, S., &amp; Piepol, D. (2007, November).</w:t>
      </w:r>
      <w:proofErr w:type="gramEnd"/>
      <w:r w:rsidRPr="000915E9">
        <w:t xml:space="preserve"> </w:t>
      </w:r>
      <w:proofErr w:type="gramStart"/>
      <w:r w:rsidRPr="000915E9">
        <w:t>“Building interactive virtual humans for training environments.”</w:t>
      </w:r>
      <w:proofErr w:type="gramEnd"/>
      <w:r w:rsidRPr="000915E9">
        <w:t xml:space="preserve"> </w:t>
      </w:r>
      <w:proofErr w:type="gramStart"/>
      <w:r w:rsidRPr="000915E9">
        <w:t xml:space="preserve">In Proceedings of </w:t>
      </w:r>
      <w:proofErr w:type="spellStart"/>
      <w:r w:rsidRPr="000915E9">
        <w:t>i</w:t>
      </w:r>
      <w:proofErr w:type="spellEnd"/>
      <w:r w:rsidRPr="000915E9">
        <w:t>/</w:t>
      </w:r>
      <w:proofErr w:type="spellStart"/>
      <w:r w:rsidRPr="000915E9">
        <w:t>itsec</w:t>
      </w:r>
      <w:proofErr w:type="spellEnd"/>
      <w:r w:rsidRPr="000915E9">
        <w:t xml:space="preserve"> (Vol. 174).</w:t>
      </w:r>
      <w:proofErr w:type="gramEnd"/>
    </w:p>
    <w:p w:rsidR="00583E97" w:rsidRPr="000915E9" w:rsidRDefault="00583E97" w:rsidP="00583E97">
      <w:pPr>
        <w:pStyle w:val="SIW-Ref"/>
        <w:keepLines/>
        <w:numPr>
          <w:ilvl w:val="0"/>
          <w:numId w:val="0"/>
        </w:numPr>
        <w:tabs>
          <w:tab w:val="clear" w:pos="450"/>
        </w:tabs>
        <w:ind w:left="450" w:right="180" w:hanging="270"/>
      </w:pPr>
      <w:r w:rsidRPr="000915E9">
        <w:t xml:space="preserve">Kudryavtsev, Andrey. </w:t>
      </w:r>
      <w:proofErr w:type="gramStart"/>
      <w:r w:rsidRPr="000915E9">
        <w:t>"Automatic Speech Recognition Services Comparison."</w:t>
      </w:r>
      <w:proofErr w:type="gramEnd"/>
      <w:r w:rsidRPr="000915E9">
        <w:t xml:space="preserve"> </w:t>
      </w:r>
      <w:proofErr w:type="gramStart"/>
      <w:r w:rsidRPr="000915E9">
        <w:t>Grid Designer's Blog.</w:t>
      </w:r>
      <w:proofErr w:type="gramEnd"/>
      <w:r w:rsidRPr="000915E9">
        <w:t xml:space="preserve"> </w:t>
      </w:r>
      <w:proofErr w:type="gramStart"/>
      <w:r w:rsidRPr="000915E9">
        <w:t>N.p</w:t>
      </w:r>
      <w:proofErr w:type="gramEnd"/>
      <w:r w:rsidRPr="000915E9">
        <w:t xml:space="preserve">., 11 Jan. 2016. </w:t>
      </w:r>
      <w:proofErr w:type="gramStart"/>
      <w:r w:rsidRPr="000915E9">
        <w:t>Web.</w:t>
      </w:r>
      <w:proofErr w:type="gramEnd"/>
      <w:r w:rsidRPr="000915E9">
        <w:t xml:space="preserve"> 20 Apr. 2017. Available: &lt;http://blog-archive.griddynamics.com/2016/01/automatic-speech-recognition-services.html&gt;.</w:t>
      </w:r>
    </w:p>
    <w:p w:rsidR="00583E97" w:rsidRPr="000915E9" w:rsidRDefault="00583E97" w:rsidP="00583E97">
      <w:pPr>
        <w:pStyle w:val="SIW-Ref"/>
        <w:keepLines/>
        <w:numPr>
          <w:ilvl w:val="0"/>
          <w:numId w:val="0"/>
        </w:numPr>
        <w:tabs>
          <w:tab w:val="clear" w:pos="450"/>
        </w:tabs>
        <w:ind w:left="450" w:right="180" w:hanging="270"/>
      </w:pPr>
      <w:r w:rsidRPr="000915E9">
        <w:t xml:space="preserve">Lee, K. F. (1988). </w:t>
      </w:r>
      <w:proofErr w:type="gramStart"/>
      <w:r w:rsidRPr="000915E9">
        <w:t>“Automatic speech recognition: the development of the SPHINX system” (Vol. 62).</w:t>
      </w:r>
      <w:proofErr w:type="gramEnd"/>
      <w:r w:rsidRPr="000915E9">
        <w:t xml:space="preserve"> </w:t>
      </w:r>
      <w:proofErr w:type="gramStart"/>
      <w:r w:rsidRPr="000915E9">
        <w:t>Springer Science &amp; Business Media.</w:t>
      </w:r>
      <w:proofErr w:type="gramEnd"/>
    </w:p>
    <w:p w:rsidR="00583E97" w:rsidRDefault="00583E97" w:rsidP="00583E97">
      <w:pPr>
        <w:spacing w:before="60"/>
        <w:ind w:left="450" w:right="180" w:hanging="270"/>
      </w:pPr>
      <w:proofErr w:type="gramStart"/>
      <w:r w:rsidRPr="00904A09">
        <w:t xml:space="preserve">Lee, O., Miller, E. C., &amp; </w:t>
      </w:r>
      <w:proofErr w:type="spellStart"/>
      <w:r w:rsidRPr="00904A09">
        <w:t>Januszyk</w:t>
      </w:r>
      <w:proofErr w:type="spellEnd"/>
      <w:r w:rsidRPr="00904A09">
        <w:t>, R. (2014).</w:t>
      </w:r>
      <w:proofErr w:type="gramEnd"/>
      <w:r w:rsidRPr="00904A09">
        <w:t xml:space="preserve"> Next generation science standards: All standards, all students.</w:t>
      </w:r>
      <w:r w:rsidRPr="00583E97">
        <w:rPr>
          <w:i/>
        </w:rPr>
        <w:t xml:space="preserve"> Journal of Science Teacher Education</w:t>
      </w:r>
      <w:r w:rsidRPr="00904A09">
        <w:t>, 25(2), 223-233.</w:t>
      </w:r>
    </w:p>
    <w:p w:rsidR="00583E97" w:rsidRDefault="00583E97" w:rsidP="00583E97">
      <w:pPr>
        <w:spacing w:before="60"/>
        <w:ind w:left="450" w:right="180" w:hanging="270"/>
      </w:pPr>
      <w:proofErr w:type="gramStart"/>
      <w:r w:rsidRPr="00A6530E">
        <w:t>NGSS Lead States.</w:t>
      </w:r>
      <w:proofErr w:type="gramEnd"/>
      <w:r w:rsidRPr="00A6530E">
        <w:t xml:space="preserve"> (2013). </w:t>
      </w:r>
      <w:r w:rsidRPr="00583E97">
        <w:rPr>
          <w:i/>
        </w:rPr>
        <w:t>Next Generation Science Standards: For states, by states.</w:t>
      </w:r>
      <w:r w:rsidRPr="00A6530E">
        <w:t xml:space="preserve"> Washington, DC: The National Academies Press.</w:t>
      </w:r>
    </w:p>
    <w:p w:rsidR="00583E97" w:rsidRDefault="00583E97" w:rsidP="00583E97">
      <w:pPr>
        <w:spacing w:before="60"/>
        <w:ind w:left="450" w:right="180" w:hanging="270"/>
      </w:pPr>
      <w:proofErr w:type="gramStart"/>
      <w:r>
        <w:t>Paul, R. &amp; Thompson, R. (Producer)</w:t>
      </w:r>
      <w:r w:rsidRPr="007276CB">
        <w:t xml:space="preserve"> &amp; </w:t>
      </w:r>
      <w:r>
        <w:t>Bridges, J.</w:t>
      </w:r>
      <w:r w:rsidRPr="007276CB">
        <w:t xml:space="preserve"> (Director).</w:t>
      </w:r>
      <w:proofErr w:type="gramEnd"/>
      <w:r w:rsidRPr="007276CB">
        <w:t xml:space="preserve"> (</w:t>
      </w:r>
      <w:r>
        <w:t>1973</w:t>
      </w:r>
      <w:r w:rsidRPr="007276CB">
        <w:t xml:space="preserve">). </w:t>
      </w:r>
      <w:proofErr w:type="gramStart"/>
      <w:r w:rsidRPr="00583E97">
        <w:rPr>
          <w:i/>
        </w:rPr>
        <w:t>The</w:t>
      </w:r>
      <w:proofErr w:type="gramEnd"/>
      <w:r w:rsidRPr="00583E97">
        <w:rPr>
          <w:i/>
        </w:rPr>
        <w:t xml:space="preserve"> Paper Chase</w:t>
      </w:r>
      <w:r w:rsidRPr="007276CB">
        <w:t xml:space="preserve"> [Motion Picture]. </w:t>
      </w:r>
      <w:r>
        <w:t>USA</w:t>
      </w:r>
      <w:r w:rsidRPr="007276CB">
        <w:t xml:space="preserve">: </w:t>
      </w:r>
      <w:r>
        <w:t>20</w:t>
      </w:r>
      <w:r w:rsidRPr="00583E97">
        <w:rPr>
          <w:vertAlign w:val="superscript"/>
        </w:rPr>
        <w:t>th</w:t>
      </w:r>
      <w:r>
        <w:t xml:space="preserve"> Century Fox</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 K</w:t>
      </w:r>
      <w:proofErr w:type="gramStart"/>
      <w:r w:rsidRPr="000915E9">
        <w:t>., ...</w:t>
      </w:r>
      <w:proofErr w:type="gramEnd"/>
      <w:r w:rsidRPr="000915E9">
        <w:t xml:space="preserve"> &amp; Parsons, T. (2011). “SimCoach: an intelligent virtual human system for providing healthcare information and support. International Journal on Disability and Human Development, 10(4), 277-281</w:t>
      </w:r>
    </w:p>
    <w:p w:rsidR="00583E97" w:rsidRPr="000915E9" w:rsidRDefault="00583E97" w:rsidP="00583E97">
      <w:pPr>
        <w:pStyle w:val="SIW-Ref"/>
        <w:keepLines/>
        <w:numPr>
          <w:ilvl w:val="0"/>
          <w:numId w:val="0"/>
        </w:numPr>
        <w:tabs>
          <w:tab w:val="clear" w:pos="450"/>
        </w:tabs>
        <w:ind w:left="450" w:right="180" w:hanging="270"/>
      </w:pPr>
      <w:proofErr w:type="gramStart"/>
      <w:r w:rsidRPr="000915E9">
        <w:t>Satori, H, Harti, M., &amp; Chenfour, N. (2007).</w:t>
      </w:r>
      <w:proofErr w:type="gramEnd"/>
      <w:r w:rsidRPr="000915E9">
        <w:t xml:space="preserve"> “Introduction to Arabic speech recognition using CMU Sphinx system.” arXiv preprint arXiv</w:t>
      </w:r>
      <w:proofErr w:type="gramStart"/>
      <w:r w:rsidRPr="000915E9">
        <w:t>:0704.2083</w:t>
      </w:r>
      <w:proofErr w:type="gramEnd"/>
      <w:r w:rsidRPr="000915E9">
        <w:t>.</w:t>
      </w:r>
    </w:p>
    <w:p w:rsidR="00583E97" w:rsidRPr="000915E9" w:rsidRDefault="00583E97" w:rsidP="00583E97">
      <w:pPr>
        <w:pStyle w:val="SIW-Ref"/>
        <w:keepLines/>
        <w:numPr>
          <w:ilvl w:val="0"/>
          <w:numId w:val="0"/>
        </w:numPr>
        <w:tabs>
          <w:tab w:val="clear" w:pos="450"/>
        </w:tabs>
        <w:ind w:left="450" w:right="180" w:hanging="270"/>
      </w:pPr>
      <w:r w:rsidRPr="000915E9">
        <w:lastRenderedPageBreak/>
        <w:t xml:space="preserve">Swartout, W. R., Gratch, J., Hill </w:t>
      </w:r>
      <w:proofErr w:type="spellStart"/>
      <w:r w:rsidRPr="000915E9">
        <w:t>Jr</w:t>
      </w:r>
      <w:proofErr w:type="spellEnd"/>
      <w:r w:rsidRPr="000915E9">
        <w:t xml:space="preserve">, R W., Hovy, E., Marsella, S., Rickel, J., &amp; Traum, D. (2006). </w:t>
      </w:r>
      <w:proofErr w:type="gramStart"/>
      <w:r w:rsidRPr="000915E9">
        <w:t>“Toward virtual humans.”</w:t>
      </w:r>
      <w:proofErr w:type="gramEnd"/>
      <w:r w:rsidRPr="000915E9">
        <w:t xml:space="preserve"> AI Magazine, 27(2), 96.</w:t>
      </w:r>
    </w:p>
    <w:p w:rsidR="00583E97" w:rsidRPr="000915E9" w:rsidRDefault="00583E97" w:rsidP="00583E97">
      <w:pPr>
        <w:pStyle w:val="SIW-Ref"/>
        <w:keepLines/>
        <w:numPr>
          <w:ilvl w:val="0"/>
          <w:numId w:val="0"/>
        </w:numPr>
        <w:tabs>
          <w:tab w:val="clear" w:pos="450"/>
        </w:tabs>
        <w:ind w:left="450" w:right="180" w:hanging="270"/>
      </w:pPr>
      <w:r w:rsidRPr="000915E9">
        <w:t>Swartout, W. R., Nye, B. D., Hartholt, A., Reilly, A., Graesser, A. C., VanLehn, K</w:t>
      </w:r>
      <w:proofErr w:type="gramStart"/>
      <w:r w:rsidRPr="000915E9">
        <w:t>., ...</w:t>
      </w:r>
      <w:proofErr w:type="gramEnd"/>
      <w:r w:rsidRPr="000915E9">
        <w:t xml:space="preserve"> &amp; Wang, L. (2016, March). </w:t>
      </w:r>
      <w:proofErr w:type="gramStart"/>
      <w:r w:rsidRPr="000915E9">
        <w:t>“Designing a Personal Assistant for Life-Long Learning (PAL3).”</w:t>
      </w:r>
      <w:proofErr w:type="gramEnd"/>
      <w:r w:rsidRPr="000915E9">
        <w:t xml:space="preserve"> </w:t>
      </w:r>
      <w:proofErr w:type="gramStart"/>
      <w:r w:rsidRPr="000915E9">
        <w:t>In The Twenty-Ninth International Flairs Conference.</w:t>
      </w:r>
      <w:proofErr w:type="gramEnd"/>
    </w:p>
    <w:p w:rsidR="00583E97" w:rsidRDefault="00583E97" w:rsidP="00583E97">
      <w:pPr>
        <w:spacing w:before="60"/>
        <w:ind w:left="450" w:right="180" w:hanging="270"/>
      </w:pPr>
      <w:proofErr w:type="spellStart"/>
      <w:proofErr w:type="gramStart"/>
      <w:r w:rsidRPr="00533A18">
        <w:t>Thorsteinsson</w:t>
      </w:r>
      <w:proofErr w:type="spellEnd"/>
      <w:r w:rsidRPr="00533A18">
        <w:t xml:space="preserve">, G., &amp; </w:t>
      </w:r>
      <w:proofErr w:type="spellStart"/>
      <w:r w:rsidRPr="00533A18">
        <w:t>Ólafsson</w:t>
      </w:r>
      <w:proofErr w:type="spellEnd"/>
      <w:r w:rsidRPr="00533A18">
        <w:t>, B. (2014).</w:t>
      </w:r>
      <w:proofErr w:type="gramEnd"/>
      <w:r w:rsidRPr="00533A18">
        <w:t xml:space="preserve"> </w:t>
      </w:r>
      <w:proofErr w:type="gramStart"/>
      <w:r w:rsidRPr="00533A18">
        <w:t xml:space="preserve">Otto Salomon in </w:t>
      </w:r>
      <w:proofErr w:type="spellStart"/>
      <w:r w:rsidRPr="00533A18">
        <w:t>Nääs</w:t>
      </w:r>
      <w:proofErr w:type="spellEnd"/>
      <w:r w:rsidRPr="00533A18">
        <w:t xml:space="preserve"> and his first Icelandic students in Nordic </w:t>
      </w:r>
      <w:proofErr w:type="spellStart"/>
      <w:r w:rsidRPr="00533A18">
        <w:t>Sloyd</w:t>
      </w:r>
      <w:proofErr w:type="spellEnd"/>
      <w:r w:rsidRPr="00533A18">
        <w:t>.</w:t>
      </w:r>
      <w:proofErr w:type="gramEnd"/>
      <w:r w:rsidRPr="00533A18">
        <w:t xml:space="preserve"> History of Education, 43(1), 31-49.</w:t>
      </w:r>
    </w:p>
    <w:p w:rsidR="00583E97" w:rsidRPr="000915E9" w:rsidRDefault="00583E97" w:rsidP="00583E97">
      <w:pPr>
        <w:pStyle w:val="SIW-Ref"/>
        <w:keepLines/>
        <w:numPr>
          <w:ilvl w:val="0"/>
          <w:numId w:val="0"/>
        </w:numPr>
        <w:tabs>
          <w:tab w:val="clear" w:pos="450"/>
        </w:tabs>
        <w:ind w:left="450" w:right="180" w:hanging="270"/>
        <w:rPr>
          <w:bCs/>
        </w:rPr>
      </w:pPr>
      <w:proofErr w:type="gramStart"/>
      <w:r w:rsidRPr="000915E9">
        <w:t>Traum, D., &amp; Rickel, J. (2002, July).</w:t>
      </w:r>
      <w:proofErr w:type="gramEnd"/>
      <w:r w:rsidRPr="000915E9">
        <w:t xml:space="preserve"> </w:t>
      </w:r>
      <w:proofErr w:type="gramStart"/>
      <w:r w:rsidRPr="000915E9">
        <w:t>“Embodied agents for multi-party dialogue in immersive virtual worlds.”</w:t>
      </w:r>
      <w:proofErr w:type="gramEnd"/>
      <w:r w:rsidRPr="000915E9">
        <w:t xml:space="preserve"> In Proceedings of the first international joint conference on Autonomous agents and </w:t>
      </w:r>
      <w:proofErr w:type="spellStart"/>
      <w:r w:rsidRPr="000915E9">
        <w:t>multiagent</w:t>
      </w:r>
      <w:proofErr w:type="spellEnd"/>
      <w:r w:rsidRPr="000915E9">
        <w:t xml:space="preserve"> systems: part 2 (pp. 766-773). </w:t>
      </w:r>
      <w:proofErr w:type="gramStart"/>
      <w:r w:rsidRPr="000915E9">
        <w:t>ACM.</w:t>
      </w:r>
      <w:proofErr w:type="gramEnd"/>
    </w:p>
    <w:p w:rsidR="00583E97" w:rsidRPr="000915E9" w:rsidRDefault="00583E97" w:rsidP="00583E97">
      <w:pPr>
        <w:pStyle w:val="SIW-Ref"/>
        <w:keepLines/>
        <w:numPr>
          <w:ilvl w:val="0"/>
          <w:numId w:val="0"/>
        </w:numPr>
        <w:tabs>
          <w:tab w:val="clear" w:pos="450"/>
        </w:tabs>
        <w:ind w:left="450" w:right="180" w:hanging="270"/>
      </w:pPr>
      <w:r w:rsidRPr="000915E9">
        <w:t>Traum, D., Jones, A., Hays, K., Maio, H., Alexander, O., Artstein, R</w:t>
      </w:r>
      <w:proofErr w:type="gramStart"/>
      <w:r w:rsidRPr="000915E9">
        <w:t>., ...</w:t>
      </w:r>
      <w:proofErr w:type="gramEnd"/>
      <w:r w:rsidRPr="000915E9">
        <w:t xml:space="preserve"> &amp; Jungblut, K. (2015, November). “New Dimensions in Testimony: Digitally preserving a Holocaust survivor’s interactive storytelling.” </w:t>
      </w:r>
      <w:proofErr w:type="gramStart"/>
      <w:r w:rsidRPr="000915E9">
        <w:t>In International Conference on Interactive Digital Storytelling (pp. 269-281).</w:t>
      </w:r>
      <w:proofErr w:type="gramEnd"/>
      <w:r w:rsidRPr="000915E9">
        <w:t xml:space="preserve"> </w:t>
      </w:r>
      <w:proofErr w:type="gramStart"/>
      <w:r w:rsidRPr="000915E9">
        <w:t>“Springer International Publishing.</w:t>
      </w:r>
      <w:proofErr w:type="gramEnd"/>
    </w:p>
    <w:p w:rsidR="00583E97" w:rsidRDefault="00583E97" w:rsidP="00583E97">
      <w:pPr>
        <w:spacing w:before="60"/>
        <w:ind w:left="450" w:right="180" w:hanging="270"/>
      </w:pPr>
      <w:r>
        <w:t xml:space="preserve">Wood, R., (2011). </w:t>
      </w:r>
      <w:r w:rsidRPr="00583E97">
        <w:rPr>
          <w:i/>
        </w:rPr>
        <w:t xml:space="preserve">What is </w:t>
      </w:r>
      <w:proofErr w:type="spellStart"/>
      <w:r w:rsidRPr="00583E97">
        <w:rPr>
          <w:i/>
        </w:rPr>
        <w:t>Sloyd</w:t>
      </w:r>
      <w:proofErr w:type="spellEnd"/>
      <w:r w:rsidRPr="00583E97">
        <w:rPr>
          <w:i/>
        </w:rPr>
        <w:t>?</w:t>
      </w:r>
      <w:r>
        <w:t xml:space="preserve">, Robin Wood, MBE, Derbyshire, UK, Retrieved from the internet 20 January 2019 from: </w:t>
      </w:r>
      <w:r w:rsidRPr="00533A18">
        <w:t>http://www.robin-wood.co.uk/wood-craft-blog/2011/02/28/what-is-sloyd/</w:t>
      </w:r>
      <w:r>
        <w:t xml:space="preserve"> </w:t>
      </w:r>
    </w:p>
    <w:p w:rsidR="00583E97" w:rsidRDefault="00583E97" w:rsidP="00583E97">
      <w:pPr>
        <w:spacing w:before="60"/>
        <w:ind w:left="450" w:right="180" w:hanging="270"/>
      </w:pPr>
      <w:proofErr w:type="gramStart"/>
      <w:r>
        <w:t xml:space="preserve">Yancey, K. B., &amp; </w:t>
      </w:r>
      <w:proofErr w:type="spellStart"/>
      <w:r>
        <w:t>Huot</w:t>
      </w:r>
      <w:proofErr w:type="spellEnd"/>
      <w:r>
        <w:t>, B. (1999).</w:t>
      </w:r>
      <w:proofErr w:type="gramEnd"/>
      <w:r>
        <w:t xml:space="preserve"> Assessing Writing across the Curriculum: Diverse Approaches and Practices. Perspectives on Writing: Theory, Research, Practice. </w:t>
      </w:r>
      <w:proofErr w:type="gramStart"/>
      <w:r>
        <w:t>Volume 1.</w:t>
      </w:r>
      <w:proofErr w:type="gramEnd"/>
      <w:r>
        <w:t xml:space="preserve"> </w:t>
      </w:r>
      <w:proofErr w:type="spellStart"/>
      <w:r>
        <w:t>Ablex</w:t>
      </w:r>
      <w:proofErr w:type="spellEnd"/>
      <w:r>
        <w:t xml:space="preserve"> Publishing/JAI Press Inc., 100 Prospect Street, PO Box 811, Stamford, CT 06904-0811.</w:t>
      </w:r>
    </w:p>
    <w:p w:rsidR="0052542A" w:rsidRDefault="0052542A" w:rsidP="00AD436D">
      <w:pPr>
        <w:spacing w:before="60"/>
        <w:ind w:left="450" w:right="180" w:hanging="270"/>
      </w:pPr>
    </w:p>
    <w:p w:rsidR="00AD436D" w:rsidRPr="00A7492D" w:rsidRDefault="00AD436D" w:rsidP="005460A3">
      <w:pPr>
        <w:spacing w:before="60"/>
        <w:ind w:left="450" w:right="180" w:hanging="270"/>
      </w:pPr>
    </w:p>
    <w:p w:rsidR="00065002" w:rsidRDefault="00065002" w:rsidP="005460A3">
      <w:pPr>
        <w:ind w:left="450" w:right="180" w:hanging="270"/>
      </w:pPr>
    </w:p>
    <w:sectPr w:rsidR="00065002" w:rsidSect="00065002">
      <w:headerReference w:type="default" r:id="rId22"/>
      <w:footerReference w:type="default" r:id="rId23"/>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19F" w:rsidRDefault="002D219F" w:rsidP="000E22B4">
      <w:r>
        <w:separator/>
      </w:r>
    </w:p>
  </w:endnote>
  <w:endnote w:type="continuationSeparator" w:id="0">
    <w:p w:rsidR="002D219F" w:rsidRDefault="002D219F" w:rsidP="000E2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Footer"/>
      <w:tabs>
        <w:tab w:val="clear" w:pos="8640"/>
        <w:tab w:val="right" w:pos="10080"/>
      </w:tabs>
      <w:rPr>
        <w:i/>
        <w:snapToGrid w:val="0"/>
        <w:sz w:val="18"/>
        <w:szCs w:val="18"/>
      </w:rPr>
    </w:pPr>
    <w:r>
      <w:rPr>
        <w:i/>
        <w:sz w:val="18"/>
        <w:szCs w:val="18"/>
      </w:rPr>
      <w:t xml:space="preserve">2019 Paper No. 034 </w:t>
    </w:r>
    <w:r>
      <w:rPr>
        <w:i/>
        <w:snapToGrid w:val="0"/>
        <w:sz w:val="18"/>
        <w:szCs w:val="18"/>
      </w:rPr>
      <w:t xml:space="preserve">Page </w:t>
    </w:r>
    <w:r w:rsidR="00157A89">
      <w:rPr>
        <w:i/>
        <w:snapToGrid w:val="0"/>
        <w:sz w:val="18"/>
        <w:szCs w:val="18"/>
      </w:rPr>
      <w:fldChar w:fldCharType="begin"/>
    </w:r>
    <w:r>
      <w:rPr>
        <w:i/>
        <w:snapToGrid w:val="0"/>
        <w:sz w:val="18"/>
        <w:szCs w:val="18"/>
      </w:rPr>
      <w:instrText xml:space="preserve"> PAGE </w:instrText>
    </w:r>
    <w:r w:rsidR="00157A89">
      <w:rPr>
        <w:i/>
        <w:snapToGrid w:val="0"/>
        <w:sz w:val="18"/>
        <w:szCs w:val="18"/>
      </w:rPr>
      <w:fldChar w:fldCharType="separate"/>
    </w:r>
    <w:r w:rsidR="00122DFF">
      <w:rPr>
        <w:i/>
        <w:noProof/>
        <w:snapToGrid w:val="0"/>
        <w:sz w:val="18"/>
        <w:szCs w:val="18"/>
      </w:rPr>
      <w:t>2</w:t>
    </w:r>
    <w:r w:rsidR="00157A89">
      <w:rPr>
        <w:i/>
        <w:snapToGrid w:val="0"/>
        <w:sz w:val="18"/>
        <w:szCs w:val="18"/>
      </w:rPr>
      <w:fldChar w:fldCharType="end"/>
    </w:r>
    <w:r>
      <w:rPr>
        <w:i/>
        <w:snapToGrid w:val="0"/>
        <w:sz w:val="18"/>
        <w:szCs w:val="18"/>
      </w:rPr>
      <w:t xml:space="preserve"> of </w:t>
    </w:r>
    <w:r w:rsidR="00157A89">
      <w:rPr>
        <w:i/>
        <w:snapToGrid w:val="0"/>
        <w:sz w:val="18"/>
        <w:szCs w:val="18"/>
      </w:rPr>
      <w:fldChar w:fldCharType="begin"/>
    </w:r>
    <w:r>
      <w:rPr>
        <w:i/>
        <w:snapToGrid w:val="0"/>
        <w:sz w:val="18"/>
        <w:szCs w:val="18"/>
      </w:rPr>
      <w:instrText xml:space="preserve"> NUMPAGES </w:instrText>
    </w:r>
    <w:r w:rsidR="00157A89">
      <w:rPr>
        <w:i/>
        <w:snapToGrid w:val="0"/>
        <w:sz w:val="18"/>
        <w:szCs w:val="18"/>
      </w:rPr>
      <w:fldChar w:fldCharType="separate"/>
    </w:r>
    <w:r w:rsidR="00122DFF">
      <w:rPr>
        <w:i/>
        <w:noProof/>
        <w:snapToGrid w:val="0"/>
        <w:sz w:val="18"/>
        <w:szCs w:val="18"/>
      </w:rPr>
      <w:t>12</w:t>
    </w:r>
    <w:r w:rsidR="00157A89">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rsidP="000E22B4">
    <w:pPr>
      <w:pStyle w:val="Footer"/>
      <w:rPr>
        <w:snapToGrid w:val="0"/>
      </w:rPr>
    </w:pPr>
    <w:r>
      <w:t>201</w:t>
    </w:r>
    <w:r w:rsidR="007562A1">
      <w:t>9</w:t>
    </w:r>
    <w:r w:rsidR="009E04E0">
      <w:t xml:space="preserve"> Paper No. 034</w:t>
    </w:r>
    <w:r w:rsidR="00B077F4">
      <w:t xml:space="preserve"> </w:t>
    </w:r>
    <w:r w:rsidR="00B077F4">
      <w:rPr>
        <w:snapToGrid w:val="0"/>
      </w:rPr>
      <w:t xml:space="preserve">Page </w:t>
    </w:r>
    <w:r w:rsidR="00157A89">
      <w:rPr>
        <w:snapToGrid w:val="0"/>
      </w:rPr>
      <w:fldChar w:fldCharType="begin"/>
    </w:r>
    <w:r w:rsidR="00B077F4">
      <w:rPr>
        <w:snapToGrid w:val="0"/>
      </w:rPr>
      <w:instrText xml:space="preserve"> PAGE </w:instrText>
    </w:r>
    <w:r w:rsidR="00157A89">
      <w:rPr>
        <w:snapToGrid w:val="0"/>
      </w:rPr>
      <w:fldChar w:fldCharType="separate"/>
    </w:r>
    <w:r w:rsidR="00122DFF">
      <w:rPr>
        <w:noProof/>
        <w:snapToGrid w:val="0"/>
      </w:rPr>
      <w:t>12</w:t>
    </w:r>
    <w:r w:rsidR="00157A89">
      <w:rPr>
        <w:snapToGrid w:val="0"/>
      </w:rPr>
      <w:fldChar w:fldCharType="end"/>
    </w:r>
    <w:r w:rsidR="00B077F4">
      <w:rPr>
        <w:snapToGrid w:val="0"/>
      </w:rPr>
      <w:t xml:space="preserve"> of </w:t>
    </w:r>
    <w:r w:rsidR="00157A89">
      <w:rPr>
        <w:snapToGrid w:val="0"/>
      </w:rPr>
      <w:fldChar w:fldCharType="begin"/>
    </w:r>
    <w:r w:rsidR="00B077F4">
      <w:rPr>
        <w:snapToGrid w:val="0"/>
      </w:rPr>
      <w:instrText xml:space="preserve"> NUMPAGES </w:instrText>
    </w:r>
    <w:r w:rsidR="00157A89">
      <w:rPr>
        <w:snapToGrid w:val="0"/>
      </w:rPr>
      <w:fldChar w:fldCharType="separate"/>
    </w:r>
    <w:r w:rsidR="00122DFF">
      <w:rPr>
        <w:noProof/>
        <w:snapToGrid w:val="0"/>
      </w:rPr>
      <w:t>12</w:t>
    </w:r>
    <w:r w:rsidR="00157A89">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19F" w:rsidRDefault="002D219F" w:rsidP="000E22B4">
      <w:r>
        <w:separator/>
      </w:r>
    </w:p>
  </w:footnote>
  <w:footnote w:type="continuationSeparator" w:id="0">
    <w:p w:rsidR="002D219F" w:rsidRDefault="002D219F" w:rsidP="000E2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Header"/>
      <w:ind w:right="-90"/>
      <w:jc w:val="right"/>
      <w:rPr>
        <w:i/>
        <w:iCs/>
        <w:sz w:val="16"/>
      </w:rPr>
    </w:pPr>
  </w:p>
  <w:p w:rsidR="00173A27" w:rsidRDefault="00173A27">
    <w:pPr>
      <w:pStyle w:val="Header"/>
      <w:jc w:val="right"/>
      <w:rPr>
        <w:i/>
        <w:iCs/>
        <w:sz w:val="16"/>
      </w:rPr>
    </w:pPr>
  </w:p>
  <w:p w:rsidR="00173A27" w:rsidRDefault="00173A27">
    <w:pPr>
      <w:pStyle w:val="Header"/>
      <w:jc w:val="right"/>
      <w:rPr>
        <w:i/>
        <w:iCs/>
        <w:sz w:val="18"/>
      </w:rPr>
    </w:pPr>
  </w:p>
  <w:p w:rsidR="00173A27" w:rsidRDefault="00173A27" w:rsidP="00754297">
    <w:pPr>
      <w:pStyle w:val="Header"/>
      <w:tabs>
        <w:tab w:val="clear" w:pos="8640"/>
        <w:tab w:val="left" w:pos="9360"/>
      </w:tabs>
      <w:jc w:val="right"/>
      <w:rPr>
        <w:i/>
        <w:iCs/>
        <w:sz w:val="18"/>
      </w:rPr>
    </w:pPr>
    <w:r w:rsidRPr="00031677">
      <w:rPr>
        <w:i/>
        <w:iCs/>
        <w:sz w:val="18"/>
      </w:rPr>
      <w:t xml:space="preserve">MODSIM World </w:t>
    </w:r>
    <w:r>
      <w:rPr>
        <w:i/>
        <w:iCs/>
        <w:sz w:val="18"/>
      </w:rPr>
      <w:t>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rsidP="000E22B4">
    <w:pPr>
      <w:pStyle w:val="Header"/>
    </w:pPr>
  </w:p>
  <w:p w:rsidR="00B077F4" w:rsidRDefault="00B077F4" w:rsidP="000E22B4">
    <w:pPr>
      <w:pStyle w:val="Header"/>
    </w:pPr>
  </w:p>
  <w:p w:rsidR="00B077F4" w:rsidRDefault="00B077F4" w:rsidP="000E22B4">
    <w:pPr>
      <w:pStyle w:val="Header"/>
    </w:pPr>
  </w:p>
  <w:p w:rsidR="00B077F4" w:rsidRDefault="00031677" w:rsidP="000E22B4">
    <w:pPr>
      <w:pStyle w:val="Header"/>
    </w:pPr>
    <w:r w:rsidRPr="00031677">
      <w:t xml:space="preserve">MODSIM World </w:t>
    </w:r>
    <w:r w:rsidR="007562A1">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A8C7778"/>
    <w:multiLevelType w:val="hybridMultilevel"/>
    <w:tmpl w:val="1350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66A9A"/>
    <w:multiLevelType w:val="hybridMultilevel"/>
    <w:tmpl w:val="C4D24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52F79"/>
    <w:rsid w:val="000612C8"/>
    <w:rsid w:val="00065002"/>
    <w:rsid w:val="00081F93"/>
    <w:rsid w:val="000966F9"/>
    <w:rsid w:val="000A767C"/>
    <w:rsid w:val="000D03D7"/>
    <w:rsid w:val="000E22B4"/>
    <w:rsid w:val="000F49D9"/>
    <w:rsid w:val="001017C4"/>
    <w:rsid w:val="00106597"/>
    <w:rsid w:val="00120F58"/>
    <w:rsid w:val="00122DFF"/>
    <w:rsid w:val="00157A89"/>
    <w:rsid w:val="001721DA"/>
    <w:rsid w:val="00173A27"/>
    <w:rsid w:val="001925A8"/>
    <w:rsid w:val="001B6B93"/>
    <w:rsid w:val="001E5772"/>
    <w:rsid w:val="001E652D"/>
    <w:rsid w:val="002842CE"/>
    <w:rsid w:val="002A26A2"/>
    <w:rsid w:val="002C398C"/>
    <w:rsid w:val="002D219F"/>
    <w:rsid w:val="002E64B8"/>
    <w:rsid w:val="003023FF"/>
    <w:rsid w:val="00315709"/>
    <w:rsid w:val="003409FB"/>
    <w:rsid w:val="003438B0"/>
    <w:rsid w:val="003A53AA"/>
    <w:rsid w:val="003B549D"/>
    <w:rsid w:val="003C04EB"/>
    <w:rsid w:val="003C2DE4"/>
    <w:rsid w:val="003D2540"/>
    <w:rsid w:val="003D2A98"/>
    <w:rsid w:val="003F2C84"/>
    <w:rsid w:val="003F6FAA"/>
    <w:rsid w:val="0044485E"/>
    <w:rsid w:val="00463336"/>
    <w:rsid w:val="004728AB"/>
    <w:rsid w:val="00476289"/>
    <w:rsid w:val="005063DD"/>
    <w:rsid w:val="0052542A"/>
    <w:rsid w:val="00533A18"/>
    <w:rsid w:val="005460A3"/>
    <w:rsid w:val="00550480"/>
    <w:rsid w:val="005722B0"/>
    <w:rsid w:val="005743F5"/>
    <w:rsid w:val="00574692"/>
    <w:rsid w:val="00583E97"/>
    <w:rsid w:val="005A6C55"/>
    <w:rsid w:val="005D222B"/>
    <w:rsid w:val="005D6891"/>
    <w:rsid w:val="005D722B"/>
    <w:rsid w:val="005E0BEB"/>
    <w:rsid w:val="0061749B"/>
    <w:rsid w:val="00623591"/>
    <w:rsid w:val="00646D25"/>
    <w:rsid w:val="00656394"/>
    <w:rsid w:val="006821FF"/>
    <w:rsid w:val="00694399"/>
    <w:rsid w:val="006B7F2C"/>
    <w:rsid w:val="006E6255"/>
    <w:rsid w:val="007024BE"/>
    <w:rsid w:val="007038B3"/>
    <w:rsid w:val="007276CB"/>
    <w:rsid w:val="00754297"/>
    <w:rsid w:val="00755052"/>
    <w:rsid w:val="007562A1"/>
    <w:rsid w:val="00756888"/>
    <w:rsid w:val="00764D77"/>
    <w:rsid w:val="007A59B1"/>
    <w:rsid w:val="007B0D97"/>
    <w:rsid w:val="007B4EFD"/>
    <w:rsid w:val="007C1C8F"/>
    <w:rsid w:val="007D05EB"/>
    <w:rsid w:val="007E4F2F"/>
    <w:rsid w:val="007F44C6"/>
    <w:rsid w:val="00856783"/>
    <w:rsid w:val="00873B59"/>
    <w:rsid w:val="0088317A"/>
    <w:rsid w:val="008B2339"/>
    <w:rsid w:val="008C4E1B"/>
    <w:rsid w:val="008D7002"/>
    <w:rsid w:val="008E2A2A"/>
    <w:rsid w:val="008E7560"/>
    <w:rsid w:val="00900352"/>
    <w:rsid w:val="00904A09"/>
    <w:rsid w:val="00960E20"/>
    <w:rsid w:val="009648EB"/>
    <w:rsid w:val="009A12AC"/>
    <w:rsid w:val="009E04E0"/>
    <w:rsid w:val="009F4744"/>
    <w:rsid w:val="00A03B25"/>
    <w:rsid w:val="00A2066F"/>
    <w:rsid w:val="00A361D2"/>
    <w:rsid w:val="00A3718C"/>
    <w:rsid w:val="00A45B70"/>
    <w:rsid w:val="00A6530E"/>
    <w:rsid w:val="00A7492D"/>
    <w:rsid w:val="00A81744"/>
    <w:rsid w:val="00AA033F"/>
    <w:rsid w:val="00AA07F5"/>
    <w:rsid w:val="00AA4A95"/>
    <w:rsid w:val="00AD2CB9"/>
    <w:rsid w:val="00AD436D"/>
    <w:rsid w:val="00AE5F44"/>
    <w:rsid w:val="00AE7834"/>
    <w:rsid w:val="00B05891"/>
    <w:rsid w:val="00B0660E"/>
    <w:rsid w:val="00B077F4"/>
    <w:rsid w:val="00B1019A"/>
    <w:rsid w:val="00B47D47"/>
    <w:rsid w:val="00B57D69"/>
    <w:rsid w:val="00C126F4"/>
    <w:rsid w:val="00C3532D"/>
    <w:rsid w:val="00C40648"/>
    <w:rsid w:val="00C42D21"/>
    <w:rsid w:val="00C9057B"/>
    <w:rsid w:val="00CB15E7"/>
    <w:rsid w:val="00CD01F7"/>
    <w:rsid w:val="00CE614A"/>
    <w:rsid w:val="00D02740"/>
    <w:rsid w:val="00DB019D"/>
    <w:rsid w:val="00DB1049"/>
    <w:rsid w:val="00DB543B"/>
    <w:rsid w:val="00E03FF0"/>
    <w:rsid w:val="00E073C8"/>
    <w:rsid w:val="00EA0C3D"/>
    <w:rsid w:val="00EB1A3F"/>
    <w:rsid w:val="00EF7B49"/>
    <w:rsid w:val="00F12494"/>
    <w:rsid w:val="00F22FD6"/>
    <w:rsid w:val="00F40242"/>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B4"/>
    <w:pPr>
      <w:jc w:val="both"/>
    </w:pPr>
  </w:style>
  <w:style w:type="paragraph" w:styleId="Heading1">
    <w:name w:val="heading 1"/>
    <w:basedOn w:val="Normal"/>
    <w:next w:val="Normal"/>
    <w:qFormat/>
    <w:rsid w:val="008B2339"/>
    <w:pPr>
      <w:keepNext/>
      <w:outlineLvl w:val="0"/>
    </w:pPr>
    <w:rPr>
      <w:b/>
      <w:caps/>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NormalIndent">
    <w:name w:val="Normal Indent"/>
    <w:basedOn w:val="Normal"/>
    <w:link w:val="NormalIndentChar"/>
    <w:rsid w:val="00B57D69"/>
    <w:pPr>
      <w:tabs>
        <w:tab w:val="left" w:pos="360"/>
        <w:tab w:val="left" w:pos="720"/>
        <w:tab w:val="left" w:pos="1080"/>
      </w:tabs>
      <w:ind w:firstLine="360"/>
    </w:pPr>
    <w:rPr>
      <w:snapToGrid w:val="0"/>
      <w:sz w:val="22"/>
    </w:rPr>
  </w:style>
  <w:style w:type="character" w:customStyle="1" w:styleId="NormalIndentChar">
    <w:name w:val="Normal Indent Char"/>
    <w:basedOn w:val="DefaultParagraphFont"/>
    <w:link w:val="NormalIndent"/>
    <w:rsid w:val="00B57D69"/>
    <w:rPr>
      <w:snapToGrid w:val="0"/>
      <w:sz w:val="22"/>
    </w:rPr>
  </w:style>
  <w:style w:type="paragraph" w:customStyle="1" w:styleId="FigureLabel">
    <w:name w:val="Figure Label"/>
    <w:basedOn w:val="Normal"/>
    <w:next w:val="NormalIndent"/>
    <w:rsid w:val="00B57D69"/>
    <w:pPr>
      <w:tabs>
        <w:tab w:val="left" w:pos="360"/>
        <w:tab w:val="left" w:pos="720"/>
        <w:tab w:val="left" w:pos="1080"/>
      </w:tabs>
      <w:jc w:val="center"/>
    </w:pPr>
    <w:rPr>
      <w:snapToGrid w:val="0"/>
      <w:sz w:val="22"/>
    </w:rPr>
  </w:style>
  <w:style w:type="paragraph" w:customStyle="1" w:styleId="FigureLabelMultiline">
    <w:name w:val="Figure Label Multiline"/>
    <w:basedOn w:val="FigureLabel"/>
    <w:next w:val="NormalIndent"/>
    <w:rsid w:val="00B57D69"/>
    <w:pPr>
      <w:jc w:val="both"/>
    </w:pPr>
  </w:style>
  <w:style w:type="paragraph" w:customStyle="1" w:styleId="SIW-Norm">
    <w:name w:val="SIW-Norm"/>
    <w:basedOn w:val="Normal"/>
    <w:link w:val="SIW-NormChar"/>
    <w:qFormat/>
    <w:rsid w:val="003C04EB"/>
    <w:pPr>
      <w:widowControl w:val="0"/>
      <w:tabs>
        <w:tab w:val="left" w:pos="363"/>
      </w:tabs>
    </w:pPr>
    <w:rPr>
      <w:rFonts w:cstheme="minorBidi"/>
      <w:spacing w:val="-1"/>
      <w:szCs w:val="24"/>
    </w:rPr>
  </w:style>
  <w:style w:type="character" w:customStyle="1" w:styleId="SIW-NormChar">
    <w:name w:val="SIW-Norm Char"/>
    <w:basedOn w:val="DefaultParagraphFont"/>
    <w:link w:val="SIW-Norm"/>
    <w:rsid w:val="003C04EB"/>
    <w:rPr>
      <w:rFonts w:cstheme="minorBidi"/>
      <w:spacing w:val="-1"/>
      <w:szCs w:val="24"/>
    </w:rPr>
  </w:style>
  <w:style w:type="paragraph" w:customStyle="1" w:styleId="SIW-Ref">
    <w:name w:val="SIW-Ref"/>
    <w:basedOn w:val="BodyText"/>
    <w:link w:val="SIW-RefChar"/>
    <w:qFormat/>
    <w:rsid w:val="0052542A"/>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52542A"/>
    <w:rPr>
      <w:rFonts w:eastAsia="CMS Y 10" w:cstheme="minorBidi"/>
    </w:rPr>
  </w:style>
  <w:style w:type="paragraph" w:styleId="ListParagraph">
    <w:name w:val="List Paragraph"/>
    <w:basedOn w:val="Normal"/>
    <w:uiPriority w:val="34"/>
    <w:qFormat/>
    <w:rsid w:val="00583E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2EF178-C8AB-48AB-9FE1-0C274FED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12</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45427</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2</cp:revision>
  <cp:lastPrinted>2019-01-23T18:58:00Z</cp:lastPrinted>
  <dcterms:created xsi:type="dcterms:W3CDTF">2019-01-28T21:09:00Z</dcterms:created>
  <dcterms:modified xsi:type="dcterms:W3CDTF">2019-01-28T21:09:00Z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