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  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 xml:space="preserve">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t xml:space="preserve"> </w:t>
            </w:r>
            <w:r w:rsidR="001F2E29" w:rsidRPr="001F2E29">
              <w:rPr>
                <w:i/>
              </w:rPr>
              <w:t>NB</w:t>
            </w:r>
            <w:r w:rsidR="001F2E29">
              <w:t xml:space="preserve">: </w:t>
            </w:r>
            <w:r>
              <w:t>Perry Mason never had a guilty one</w:t>
            </w:r>
          </w:p>
        </w:tc>
        <w:tc>
          <w:tcPr>
            <w:tcW w:w="5562" w:type="dxa"/>
            <w:vAlign w:val="center"/>
          </w:tcPr>
          <w:p w:rsidR="00A7624A" w:rsidRPr="008314B1" w:rsidRDefault="00A7624A" w:rsidP="00EA1F29">
            <w:pPr>
              <w:jc w:val="left"/>
            </w:pPr>
            <w:r>
              <w:t>One defense attorney reported that he did not have a</w:t>
            </w:r>
            <w:r w:rsidR="00EA1F29">
              <w:t>ny</w:t>
            </w:r>
            <w:r>
              <w:t xml:space="preserve"> innocent client</w:t>
            </w:r>
            <w:r w:rsidR="00EA1F29">
              <w:t>s</w:t>
            </w:r>
            <w:r>
              <w:t xml:space="preserve"> in his entire career</w:t>
            </w:r>
            <w:r w:rsidR="00EA1F29">
              <w:t>; estimate: 1 in 2,000 are really innocent</w:t>
            </w:r>
            <w:r>
              <w:t xml:space="preserve"> </w:t>
            </w:r>
          </w:p>
        </w:tc>
      </w:tr>
    </w:tbl>
    <w:p w:rsidR="008314B1" w:rsidRDefault="008314B1" w:rsidP="00B82840"/>
    <w:p w:rsidR="00D831CE" w:rsidRDefault="00EA1F29" w:rsidP="00B82840">
      <w:r>
        <w:t xml:space="preserve">Another issue is the bias of the creators of the media.  Each profession attracts, for good or for ill, certain archetypes of personnel.  Unlike juries that must be drawn from a population in a way that best represents </w:t>
      </w:r>
      <w:r w:rsidR="00D831CE">
        <w:t xml:space="preserve">the community, being successful in the media may tilt toward people with certain skills.  Many have the ability to tell a story; many have a story to tell.  With the exception of the aforementioned Frank Capra (Caltech, class of 1918), most entertainment producers were not adept in advanced mathematics, hard sciences and engineering.  This </w:t>
      </w:r>
      <w:proofErr w:type="gramStart"/>
      <w:r w:rsidR="00D831CE">
        <w:t>groups</w:t>
      </w:r>
      <w:proofErr w:type="gramEnd"/>
      <w:r w:rsidR="00D831CE">
        <w:t xml:space="preserve"> memory of those topics in secondary and tertiary education environments may have been uncomfortable. The question raised here is </w:t>
      </w:r>
      <w:r w:rsidR="00D831CE">
        <w:lastRenderedPageBreak/>
        <w:t xml:space="preserve">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MentorPAL researchers is that the students had no frame of reference for making an optimal selection.  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proofErr w:type="spellStart"/>
      <w:r>
        <w:t>MentoPAL</w:t>
      </w:r>
      <w:proofErr w:type="spellEnd"/>
      <w:r>
        <w:t xml:space="preserve"> was asked: "How high is Mt. Kilimanjaro?"</w:t>
      </w:r>
      <w:proofErr w:type="gramStart"/>
      <w:r>
        <w:t>.)</w:t>
      </w:r>
      <w:proofErr w:type="gramEnd"/>
      <w:r>
        <w:t xml:space="preserve">  This suggests some kind of introductory setting of issue might be useful, such as:</w:t>
      </w:r>
    </w:p>
    <w:p w:rsidR="006E79BD" w:rsidRDefault="006E79BD" w:rsidP="00B82840"/>
    <w:p w:rsidR="006E79BD" w:rsidRDefault="006E79BD" w:rsidP="00B82840">
      <w:r>
        <w:t>Issue of Consequence to Career Selection</w:t>
      </w:r>
      <w:r w:rsidR="001172CD">
        <w:t>:</w:t>
      </w:r>
    </w:p>
    <w:p w:rsidR="00FE78D2" w:rsidRDefault="00FE78D2" w:rsidP="00551458">
      <w:pPr>
        <w:pStyle w:val="ListParagraph"/>
        <w:numPr>
          <w:ilvl w:val="0"/>
          <w:numId w:val="4"/>
        </w:numPr>
        <w:tabs>
          <w:tab w:val="left" w:pos="630"/>
        </w:tabs>
      </w:pPr>
      <w:r>
        <w:t xml:space="preserve">Work physical environment </w:t>
      </w:r>
    </w:p>
    <w:p w:rsidR="00FE78D2" w:rsidRDefault="00FE78D2" w:rsidP="00FE78D2">
      <w:r>
        <w:tab/>
      </w:r>
      <w:proofErr w:type="gramStart"/>
      <w:r>
        <w:t>(Office?</w:t>
      </w:r>
      <w:proofErr w:type="gramEnd"/>
      <w:r>
        <w:t xml:space="preserve"> Out-doors? </w:t>
      </w:r>
      <w:proofErr w:type="gramStart"/>
      <w:r>
        <w:t>Lab?</w:t>
      </w:r>
      <w:proofErr w:type="gramEnd"/>
      <w:r>
        <w:t xml:space="preserve"> </w:t>
      </w:r>
      <w:proofErr w:type="gramStart"/>
      <w:r>
        <w:t>Vehicle?)</w:t>
      </w:r>
      <w:proofErr w:type="gramEnd"/>
    </w:p>
    <w:p w:rsidR="00FE78D2" w:rsidRDefault="00FE78D2" w:rsidP="00551458">
      <w:pPr>
        <w:pStyle w:val="ListParagraph"/>
        <w:numPr>
          <w:ilvl w:val="0"/>
          <w:numId w:val="4"/>
        </w:numPr>
        <w:tabs>
          <w:tab w:val="left" w:pos="630"/>
        </w:tabs>
      </w:pPr>
      <w:r>
        <w:t>Colleague characterization</w:t>
      </w:r>
    </w:p>
    <w:p w:rsidR="00FE78D2" w:rsidRDefault="00FE78D2" w:rsidP="00551458">
      <w:pPr>
        <w:pStyle w:val="ListParagraph"/>
        <w:numPr>
          <w:ilvl w:val="0"/>
          <w:numId w:val="4"/>
        </w:numPr>
        <w:tabs>
          <w:tab w:val="left" w:pos="630"/>
        </w:tabs>
      </w:pPr>
      <w:r>
        <w:t>Work schedule</w:t>
      </w:r>
    </w:p>
    <w:p w:rsidR="00FE78D2" w:rsidRDefault="00FE78D2" w:rsidP="00551458">
      <w:pPr>
        <w:pStyle w:val="ListParagraph"/>
        <w:numPr>
          <w:ilvl w:val="0"/>
          <w:numId w:val="4"/>
        </w:numPr>
        <w:tabs>
          <w:tab w:val="left" w:pos="630"/>
        </w:tabs>
      </w:pPr>
      <w:r>
        <w:t xml:space="preserve">Travel required </w:t>
      </w:r>
    </w:p>
    <w:p w:rsidR="00FE78D2" w:rsidRDefault="00FE78D2" w:rsidP="00551458">
      <w:pPr>
        <w:pStyle w:val="ListParagraph"/>
        <w:numPr>
          <w:ilvl w:val="0"/>
          <w:numId w:val="4"/>
        </w:numPr>
        <w:tabs>
          <w:tab w:val="left" w:pos="630"/>
        </w:tabs>
      </w:pPr>
      <w:r>
        <w:t>Compensation</w:t>
      </w:r>
    </w:p>
    <w:p w:rsidR="00FE78D2" w:rsidRDefault="00FE78D2" w:rsidP="00551458">
      <w:pPr>
        <w:pStyle w:val="ListParagraph"/>
        <w:numPr>
          <w:ilvl w:val="0"/>
          <w:numId w:val="4"/>
        </w:numPr>
        <w:tabs>
          <w:tab w:val="left" w:pos="630"/>
        </w:tabs>
      </w:pPr>
      <w:r>
        <w:t>Advancement</w:t>
      </w:r>
    </w:p>
    <w:p w:rsidR="00FE78D2" w:rsidRDefault="00FE78D2" w:rsidP="00551458">
      <w:pPr>
        <w:pStyle w:val="ListParagraph"/>
        <w:numPr>
          <w:ilvl w:val="0"/>
          <w:numId w:val="4"/>
        </w:numPr>
        <w:tabs>
          <w:tab w:val="left" w:pos="630"/>
        </w:tabs>
      </w:pPr>
      <w:r>
        <w:t>Danger/health hazards</w:t>
      </w:r>
    </w:p>
    <w:p w:rsidR="00FE78D2" w:rsidRDefault="00FE78D2" w:rsidP="00551458">
      <w:pPr>
        <w:pStyle w:val="ListParagraph"/>
        <w:numPr>
          <w:ilvl w:val="0"/>
          <w:numId w:val="4"/>
        </w:numPr>
        <w:tabs>
          <w:tab w:val="left" w:pos="630"/>
        </w:tabs>
      </w:pPr>
      <w:r>
        <w:t>Personnel turnover</w:t>
      </w:r>
    </w:p>
    <w:p w:rsidR="00FE78D2" w:rsidRDefault="00FE78D2" w:rsidP="00551458">
      <w:pPr>
        <w:pStyle w:val="ListParagraph"/>
        <w:numPr>
          <w:ilvl w:val="0"/>
          <w:numId w:val="4"/>
        </w:numPr>
        <w:tabs>
          <w:tab w:val="left" w:pos="630"/>
        </w:tabs>
      </w:pPr>
      <w:r>
        <w:t>Typical day activities</w:t>
      </w:r>
    </w:p>
    <w:p w:rsidR="00FE78D2" w:rsidRDefault="00FE78D2" w:rsidP="00551458">
      <w:pPr>
        <w:pStyle w:val="ListParagraph"/>
        <w:numPr>
          <w:ilvl w:val="0"/>
          <w:numId w:val="4"/>
        </w:numPr>
        <w:tabs>
          <w:tab w:val="left" w:pos="630"/>
        </w:tabs>
      </w:pPr>
      <w:r>
        <w:t>Public regard for profession</w:t>
      </w:r>
    </w:p>
    <w:p w:rsidR="00FE78D2" w:rsidRDefault="00FE78D2" w:rsidP="00551458">
      <w:pPr>
        <w:pStyle w:val="ListParagraph"/>
        <w:numPr>
          <w:ilvl w:val="0"/>
          <w:numId w:val="4"/>
        </w:numPr>
        <w:tabs>
          <w:tab w:val="left" w:pos="630"/>
        </w:tabs>
      </w:pPr>
      <w:r>
        <w:t>Work/family balance</w:t>
      </w:r>
    </w:p>
    <w:p w:rsidR="00FE78D2" w:rsidRDefault="00FE78D2" w:rsidP="00551458">
      <w:pPr>
        <w:pStyle w:val="ListParagraph"/>
        <w:numPr>
          <w:ilvl w:val="0"/>
          <w:numId w:val="4"/>
        </w:numPr>
        <w:tabs>
          <w:tab w:val="left" w:pos="630"/>
        </w:tabs>
      </w:pPr>
      <w:r>
        <w:t>Socializing outside of work</w:t>
      </w:r>
    </w:p>
    <w:p w:rsidR="00FE78D2" w:rsidRDefault="00FE78D2" w:rsidP="00551458">
      <w:pPr>
        <w:pStyle w:val="ListParagraph"/>
        <w:numPr>
          <w:ilvl w:val="0"/>
          <w:numId w:val="4"/>
        </w:numPr>
        <w:tabs>
          <w:tab w:val="left" w:pos="630"/>
        </w:tabs>
      </w:pPr>
      <w:r>
        <w:t>Resonates with personal passion</w:t>
      </w:r>
    </w:p>
    <w:p w:rsidR="00FE78D2" w:rsidRDefault="00FE78D2" w:rsidP="00551458">
      <w:pPr>
        <w:pStyle w:val="ListParagraph"/>
        <w:numPr>
          <w:ilvl w:val="0"/>
          <w:numId w:val="4"/>
        </w:numPr>
        <w:tabs>
          <w:tab w:val="left" w:pos="630"/>
        </w:tabs>
      </w:pPr>
      <w:r>
        <w:t>Emulates hobby parameters</w:t>
      </w:r>
    </w:p>
    <w:p w:rsidR="006E79BD" w:rsidRDefault="00FE78D2" w:rsidP="00551458">
      <w:pPr>
        <w:pStyle w:val="ListParagraph"/>
        <w:numPr>
          <w:ilvl w:val="0"/>
          <w:numId w:val="4"/>
        </w:numPr>
        <w:tabs>
          <w:tab w:val="left" w:pos="630"/>
        </w:tabs>
      </w:pPr>
      <w:r>
        <w:t>…???</w:t>
      </w:r>
    </w:p>
    <w:p w:rsidR="00B82840" w:rsidRDefault="00B82840" w:rsidP="00B82840"/>
    <w:p w:rsidR="00B82840" w:rsidRDefault="00B82840" w:rsidP="00574030">
      <w:pPr>
        <w:pStyle w:val="Heading3"/>
      </w:pPr>
      <w:r>
        <w:t xml:space="preserve"> Shortfalls in STEM professionals </w:t>
      </w:r>
    </w:p>
    <w:p w:rsidR="00B82840" w:rsidRDefault="00B82840" w:rsidP="00B82840"/>
    <w:p w:rsidR="00446061" w:rsidRPr="00446061" w:rsidRDefault="00446061" w:rsidP="00446061">
      <w:pPr>
        <w:pStyle w:val="Caption"/>
        <w:keepNext/>
        <w:jc w:val="center"/>
        <w:rPr>
          <w:color w:val="auto"/>
        </w:rPr>
      </w:pPr>
      <w:r w:rsidRPr="00446061">
        <w:rPr>
          <w:color w:val="auto"/>
        </w:rPr>
        <w:t xml:space="preserve">Table </w:t>
      </w:r>
      <w:r w:rsidRPr="00446061">
        <w:rPr>
          <w:color w:val="auto"/>
        </w:rPr>
        <w:fldChar w:fldCharType="begin"/>
      </w:r>
      <w:r w:rsidRPr="00446061">
        <w:rPr>
          <w:color w:val="auto"/>
        </w:rPr>
        <w:instrText xml:space="preserve"> SEQ Table \* ARABIC </w:instrText>
      </w:r>
      <w:r w:rsidRPr="00446061">
        <w:rPr>
          <w:color w:val="auto"/>
        </w:rPr>
        <w:fldChar w:fldCharType="separate"/>
      </w:r>
      <w:r w:rsidRPr="00446061">
        <w:rPr>
          <w:noProof/>
          <w:color w:val="auto"/>
        </w:rPr>
        <w:t>1</w:t>
      </w:r>
      <w:r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3"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lastRenderedPageBreak/>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 xml:space="preserve">Several sources also noted that just funding and issuing more degrees in STEM subjects is not the solution required. These sources, </w:t>
      </w:r>
      <w:proofErr w:type="gramStart"/>
      <w:r w:rsidR="00446061">
        <w:t>who</w:t>
      </w:r>
      <w:proofErr w:type="gramEnd"/>
      <w:r w:rsidR="00446061">
        <w:t xml:space="preserve">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  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  attractive programs, and potentially productive engineering students dropping STEM training, a new approach may be in order</w:t>
      </w:r>
      <w:r w:rsidR="00FE4837">
        <w:t xml:space="preserve">. The military in the democracies and the population in the totalitarian systems can just order the best and brightest into the STEM fields; that option is not viable in the Western Cultures. Current methodologies have not had much impact.  One study shows that  </w:t>
      </w:r>
    </w:p>
    <w:p w:rsidR="006A5131" w:rsidRDefault="006A5131" w:rsidP="00B82840"/>
    <w:p w:rsidR="00FE4837" w:rsidRDefault="00FE4837" w:rsidP="00FE4837">
      <w:pPr>
        <w:pStyle w:val="Heading2"/>
      </w:pPr>
      <w:r>
        <w:t>A Virtual Mentor Project: MentorPAL</w:t>
      </w:r>
    </w:p>
    <w:p w:rsidR="00B82840" w:rsidRDefault="00B82840" w:rsidP="00B82840"/>
    <w:p w:rsidR="00FE4837" w:rsidRDefault="00FE4837" w:rsidP="00B82840">
      <w:r>
        <w:t xml:space="preserve">As an example of how a virtual mentor could provide high-quality assistance, below you will find a brief discussion of a project funded by the Navy to provide global and all day mentoring to </w:t>
      </w:r>
      <w:proofErr w:type="gramStart"/>
      <w:r>
        <w:t>enlisted</w:t>
      </w:r>
      <w:proofErr w:type="gramEnd"/>
      <w:r>
        <w:t xml:space="preserve">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w:t>
      </w:r>
    </w:p>
    <w:p w:rsidR="002D7193" w:rsidRDefault="002D7193" w:rsidP="00B82840"/>
    <w:p w:rsidR="00FE4837" w:rsidRDefault="00FE4837" w:rsidP="002D7193">
      <w:r>
        <w:t xml:space="preserve">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w:t>
      </w:r>
      <w:proofErr w:type="spellStart"/>
      <w:r>
        <w:t>MentorPals</w:t>
      </w:r>
      <w:proofErr w:type="spellEnd"/>
      <w:r>
        <w:t xml:space="preserve"> could always be available for such events and for individual </w:t>
      </w:r>
      <w:r w:rsidR="002D7193">
        <w:t>counseling</w:t>
      </w:r>
      <w:r>
        <w:t xml:space="preserve">. </w:t>
      </w:r>
    </w:p>
    <w:p w:rsidR="002D7193" w:rsidRDefault="002D7193" w:rsidP="002D7193"/>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w:t>
      </w:r>
      <w:proofErr w:type="gramStart"/>
      <w:r>
        <w:t>a</w:t>
      </w:r>
      <w:proofErr w:type="gramEnd"/>
      <w:r>
        <w:t xml:space="preserve"> ostensible distaste for technical personnel, with STEM professionals often portrayed as socially inept or malevolent. </w:t>
      </w:r>
    </w:p>
    <w:p w:rsidR="002D7193" w:rsidRDefault="002D7193" w:rsidP="002D7193"/>
    <w:p w:rsidR="00FE4837" w:rsidRDefault="00FE4837" w:rsidP="002D7193">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w:t>
      </w:r>
      <w:proofErr w:type="gramStart"/>
      <w:r>
        <w:t>requires,</w:t>
      </w:r>
      <w:proofErr w:type="gramEnd"/>
      <w:r>
        <w:t xml:space="preserve">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FE4837" w:rsidRDefault="00FE4837" w:rsidP="00FE4837">
      <w:pPr>
        <w:pStyle w:val="style2"/>
        <w:jc w:val="center"/>
      </w:pPr>
      <w:r>
        <w:rPr>
          <w:noProof/>
        </w:rPr>
        <w:lastRenderedPageBreak/>
        <w:drawing>
          <wp:inline distT="0" distB="0" distL="0" distR="0">
            <wp:extent cx="6093460" cy="3540760"/>
            <wp:effectExtent l="19050" t="0" r="2540" b="0"/>
            <wp:docPr id="4"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4" cstate="print"/>
                    <a:srcRect/>
                    <a:stretch>
                      <a:fillRect/>
                    </a:stretch>
                  </pic:blipFill>
                  <pic:spPr bwMode="auto">
                    <a:xfrm>
                      <a:off x="0" y="0"/>
                      <a:ext cx="6093460" cy="3540760"/>
                    </a:xfrm>
                    <a:prstGeom prst="rect">
                      <a:avLst/>
                    </a:prstGeom>
                    <a:noFill/>
                    <a:ln w="9525">
                      <a:noFill/>
                      <a:miter lim="800000"/>
                      <a:headEnd/>
                      <a:tailEnd/>
                    </a:ln>
                  </pic:spPr>
                </pic:pic>
              </a:graphicData>
            </a:graphic>
          </wp:inline>
        </w:drawing>
      </w:r>
    </w:p>
    <w:p w:rsidR="00FE4837" w:rsidRDefault="00FE4837" w:rsidP="002D7193">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w:t>
      </w:r>
      <w:r w:rsidR="009954CA">
        <w:t xml:space="preserve"> program also automatically detects and format for use on tablets and smart phones. </w:t>
      </w:r>
      <w:r>
        <w:t xml:space="preserve"> </w:t>
      </w:r>
      <w:r w:rsidR="009954CA">
        <w:t xml:space="preserve">All present </w:t>
      </w:r>
      <w:r>
        <w:t>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also works using voice recognition via the computers' microphone, but this was seldom used in</w:t>
      </w:r>
      <w:r w:rsidR="009954CA">
        <w:t xml:space="preserve"> the large group</w:t>
      </w:r>
      <w:r>
        <w:t xml:space="preserve"> test</w:t>
      </w:r>
      <w:r w:rsidR="009954CA">
        <w:t>s</w:t>
      </w:r>
      <w:r>
        <w:t xml:space="preserve"> due to high-noise environment of the </w:t>
      </w:r>
      <w:r w:rsidR="009954CA">
        <w:t>evaluation</w:t>
      </w:r>
      <w:r>
        <w:t xml:space="preserve"> sites. </w:t>
      </w:r>
    </w:p>
    <w:p w:rsidR="00FE4837" w:rsidRDefault="00FE4837" w:rsidP="00B82840"/>
    <w:p w:rsidR="00B82840" w:rsidRDefault="009954CA" w:rsidP="00B82840">
      <w:r>
        <w:t xml:space="preserve">Another issue is that of student receptivity. When queried by the research personnel, the students gave the program high marks and said they would use it, but it may be necessary to have a more anonymous evaluation, conducted by personnel who are not part of the project team.  By the time they are </w:t>
      </w:r>
      <w:proofErr w:type="gramStart"/>
      <w:r>
        <w:t>Seniors</w:t>
      </w:r>
      <w:proofErr w:type="gramEnd"/>
      <w:r>
        <w:t xml:space="preserve">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9954CA" w:rsidRDefault="009954CA" w:rsidP="00B82840"/>
    <w:p w:rsidR="009058F0" w:rsidRDefault="009954CA" w:rsidP="00B82840">
      <w:r>
        <w:t xml:space="preserve">In any case, a more complete program to </w:t>
      </w:r>
      <w:r w:rsidR="00760ED3">
        <w:t xml:space="preserve">highlight the otherwise un-recognized positive aspects of a STEM career could be fashioned, based on existing technologies. Any number of defense contractors could accomplish this initiative.  </w:t>
      </w:r>
      <w:r w:rsidR="009058F0">
        <w:t xml:space="preserve">The initiative might begin with a short video describing the work, then and </w:t>
      </w:r>
      <w:proofErr w:type="spellStart"/>
      <w:r w:rsidR="009058F0">
        <w:t>introductionto</w:t>
      </w:r>
      <w:proofErr w:type="spellEnd"/>
      <w:r w:rsidR="009058F0">
        <w:t xml:space="preserve"> the mentor panel so the student can start thinking about to whom they would like to speak. Perhaps a few minute </w:t>
      </w:r>
      <w:proofErr w:type="gramStart"/>
      <w:r w:rsidR="009058F0">
        <w:t>discussion</w:t>
      </w:r>
      <w:proofErr w:type="gramEnd"/>
      <w:r w:rsidR="009058F0">
        <w:t xml:space="preserve">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lastRenderedPageBreak/>
        <w:t>A series of "YouTube-like" videos portraying the kinds of work the mentor talks about in a way useful to users</w:t>
      </w:r>
    </w:p>
    <w:p w:rsidR="00760ED3" w:rsidRDefault="00760ED3" w:rsidP="00B82840"/>
    <w:p w:rsidR="00B82840" w:rsidRDefault="00B82840" w:rsidP="00B82840"/>
    <w:p w:rsidR="00B82840" w:rsidRDefault="00B82840" w:rsidP="00B82840">
      <w:pPr>
        <w:keepNext/>
        <w:keepLines/>
        <w:rPr>
          <w:b/>
          <w:bCs/>
        </w:rPr>
      </w:pPr>
      <w:r>
        <w:rPr>
          <w:b/>
          <w:bCs/>
        </w:rPr>
        <w:t>Stakeholders</w:t>
      </w:r>
    </w:p>
    <w:p w:rsidR="009058F0" w:rsidRDefault="009058F0" w:rsidP="00B82840">
      <w:pPr>
        <w:keepNext/>
        <w:keepLines/>
        <w:rPr>
          <w:b/>
          <w:bCs/>
        </w:rPr>
      </w:pPr>
    </w:p>
    <w:p w:rsidR="009058F0" w:rsidRDefault="009058F0" w:rsidP="009058F0">
      <w:r>
        <w:t xml:space="preserve">When considering a new initiative, the entities that may be impacted should be identified and analyzed.  The sorts of entities that a program such as envisioned above are identified below and a few brief comments made about </w:t>
      </w:r>
      <w:proofErr w:type="spellStart"/>
      <w:r>
        <w:t>there</w:t>
      </w:r>
      <w:proofErr w:type="spellEnd"/>
      <w:r>
        <w:t xml:space="preserve"> involvement </w:t>
      </w:r>
      <w:proofErr w:type="spellStart"/>
      <w:proofErr w:type="gramStart"/>
      <w:r>
        <w:t>ot</w:t>
      </w:r>
      <w:proofErr w:type="spellEnd"/>
      <w:proofErr w:type="gramEnd"/>
      <w:r>
        <w:t xml:space="preserve"> their anticipated reactions to potential impacts from the program </w:t>
      </w:r>
    </w:p>
    <w:p w:rsidR="00B82840" w:rsidRDefault="00B82840" w:rsidP="00B82840">
      <w:pPr>
        <w:keepNext/>
        <w:keepLines/>
      </w:pPr>
    </w:p>
    <w:p w:rsidR="00B82840" w:rsidRDefault="00B82840" w:rsidP="00551458">
      <w:r>
        <w:t>Students</w:t>
      </w:r>
    </w:p>
    <w:p w:rsidR="00A05585" w:rsidRDefault="00A05585" w:rsidP="00551458">
      <w:r>
        <w:t>The students may be the mos</w:t>
      </w:r>
      <w:r w:rsidR="00525113">
        <w:t xml:space="preserve">t difficult to assess in both receptivity and in impact.  </w:t>
      </w:r>
      <w:r w:rsidR="00551458">
        <w:t>Live mentors report a consistent lack of responsiveness from this age group.  Some of it may be explained by the previously discussed lack of context in which to discuss these matters, some may be due to the "generation gap," and so</w:t>
      </w:r>
    </w:p>
    <w:p w:rsidR="00B82840" w:rsidRDefault="00B82840" w:rsidP="00551458"/>
    <w:p w:rsidR="00B82840" w:rsidRDefault="00B82840" w:rsidP="00551458">
      <w:r>
        <w:t>Educators</w:t>
      </w:r>
    </w:p>
    <w:p w:rsidR="00B82840" w:rsidRDefault="00350EB8" w:rsidP="00551458">
      <w:r>
        <w:t>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w:t>
      </w:r>
      <w:r w:rsidR="005D71AE">
        <w:t>03</w:t>
      </w:r>
      <w:r>
        <w:t xml:space="preserve">). </w:t>
      </w:r>
    </w:p>
    <w:p w:rsidR="00350EB8" w:rsidRDefault="00350EB8" w:rsidP="00551458"/>
    <w:p w:rsidR="00B82840" w:rsidRDefault="00B82840" w:rsidP="00551458">
      <w:r>
        <w:t>Employers</w:t>
      </w:r>
    </w:p>
    <w:p w:rsidR="00B82840" w:rsidRDefault="00350EB8" w:rsidP="00551458">
      <w:r>
        <w:t xml:space="preserve">The consumers of STEM graduates are already clamoring for new, better, reliable and security clearable students. </w:t>
      </w:r>
    </w:p>
    <w:p w:rsidR="00B82840" w:rsidRDefault="00B82840" w:rsidP="00551458">
      <w:r>
        <w:t>Society</w:t>
      </w:r>
      <w:r w:rsidR="00F512D5">
        <w:t xml:space="preserve"> needs the technology; the employers cannot give it to the populace without the STEM workers. It is conjectured the employers would be happy to produce videos of exciting work they are doing and how fun and fulfilling it is to work on their projects.</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F512D5" w:rsidP="00B82840">
      <w:r>
        <w:t>An implementation of this order should go a long way to ameliorate the hurdles mentioned above.  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p>
    <w:p w:rsidR="00B82840" w:rsidRDefault="00B82840" w:rsidP="00B82840"/>
    <w:p w:rsidR="00B82840" w:rsidRDefault="00F512D5" w:rsidP="00B82840">
      <w:r>
        <w:t xml:space="preserve">Others have done much good research, not mentioned above.  </w:t>
      </w:r>
      <w:proofErr w:type="spellStart"/>
      <w:r w:rsidR="003C4260">
        <w:t>Linnea</w:t>
      </w:r>
      <w:proofErr w:type="spellEnd"/>
      <w:r w:rsidR="003C4260">
        <w:t xml:space="preserve"> </w:t>
      </w:r>
      <w:proofErr w:type="spellStart"/>
      <w:r w:rsidR="003C4260">
        <w:t>Rademaker</w:t>
      </w:r>
      <w:proofErr w:type="spellEnd"/>
      <w:r w:rsidR="003C4260">
        <w:t xml:space="preserve"> looked at on-line "live" mentorships for dissertation development and has some insightful conclusions (</w:t>
      </w:r>
      <w:proofErr w:type="spellStart"/>
      <w:r w:rsidR="003C4260">
        <w:t>Rademaker</w:t>
      </w:r>
      <w:proofErr w:type="spellEnd"/>
      <w:r w:rsidR="003C4260" w:rsidRPr="003C4260">
        <w:rPr>
          <w:i/>
        </w:rPr>
        <w:t xml:space="preserve"> et al.</w:t>
      </w:r>
      <w:r w:rsidR="003C4260">
        <w:t xml:space="preserve"> 2016). Perhaps more on point for the main thesis of this paper, Jo </w:t>
      </w:r>
      <w:proofErr w:type="spellStart"/>
      <w:r w:rsidR="003C4260">
        <w:t>Fayem</w:t>
      </w:r>
      <w:proofErr w:type="spellEnd"/>
      <w:r w:rsidR="003C4260">
        <w:t xml:space="preserve"> and others looked at the efficacy of on-line mentors impacting motivation of undergraduates (</w:t>
      </w:r>
      <w:proofErr w:type="spellStart"/>
      <w:r w:rsidR="003C4260">
        <w:t>Fayem</w:t>
      </w:r>
      <w:proofErr w:type="spellEnd"/>
      <w:r w:rsidR="003C4260">
        <w:t xml:space="preserve"> </w:t>
      </w:r>
      <w:r w:rsidR="003C4260" w:rsidRPr="003C4260">
        <w:rPr>
          <w:i/>
        </w:rPr>
        <w:t>et al.</w:t>
      </w:r>
      <w:r w:rsidR="003C4260">
        <w:t xml:space="preserve">, 2018).  </w:t>
      </w:r>
      <w:r w:rsidR="00341165">
        <w:t>On Sri Lanka, Prof. Vimalini has developed some really good analysis of efficacy of on-line training, education and counseling.  It bears internalizing.</w:t>
      </w:r>
    </w:p>
    <w:p w:rsidR="00B82840" w:rsidRDefault="00B82840" w:rsidP="00B82840"/>
    <w:p w:rsidR="00341165" w:rsidRDefault="003B3BD4" w:rsidP="00B82840">
      <w:r>
        <w:t xml:space="preserve">The various team members who worked on MentorPAL did discover some operation issues as the project progressed.  As US Naval personnel were sought, a message was disseminated by higher authority soliciting candidates. Usually, a member of a unit was "volunteered," with all of the candidates turning out to be excellent.  One of the issues the team at USC ran into was the consistent hesitancy by potential mentor </w:t>
      </w:r>
      <w:r w:rsidR="00341165">
        <w:t xml:space="preserve">to record video tapes.  Camera shyness, like other stage fright seemed to </w:t>
      </w:r>
      <w:r>
        <w:t>dissipate</w:t>
      </w:r>
      <w:r w:rsidR="00341165">
        <w:t xml:space="preserve"> quickly with the support of an engaging questioner and an informal setting for the taping.  The sites for the backdrop, lights and camera were variously: classrooms, offices, a break room, and a home basement. Person-to-person interviews were a required feature of the mentor recruit process.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  The need is there, as is the technology.  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proofErr w:type="spellStart"/>
      <w:r>
        <w:t>elegan</w:t>
      </w:r>
      <w:proofErr w:type="spellEnd"/>
      <w:r>
        <w:t xml:space="preserve"> coder to </w:t>
      </w:r>
      <w:r>
        <w:lastRenderedPageBreak/>
        <w:t>produce both the code and the associated documentation to ensure a stable code base.  The illusion of the virtual conversation could be easily interrupted by any computer glitch.  The three most important disciplines are:</w:t>
      </w:r>
    </w:p>
    <w:p w:rsidR="006811B1" w:rsidRDefault="006811B1" w:rsidP="00B82840"/>
    <w:p w:rsidR="006811B1" w:rsidRDefault="00B82840" w:rsidP="006811B1">
      <w:pPr>
        <w:pStyle w:val="ListParagraph"/>
        <w:numPr>
          <w:ilvl w:val="0"/>
          <w:numId w:val="6"/>
        </w:numPr>
        <w:tabs>
          <w:tab w:val="left" w:pos="990"/>
        </w:tabs>
        <w:ind w:left="900"/>
      </w:pPr>
      <w:r>
        <w:t>C</w:t>
      </w:r>
      <w:r w:rsidR="006811B1">
        <w:t>omputer science – to implement the Natural Language Processing algorithms and I/O</w:t>
      </w:r>
    </w:p>
    <w:p w:rsidR="006811B1" w:rsidRDefault="00B82840" w:rsidP="006811B1">
      <w:pPr>
        <w:pStyle w:val="ListParagraph"/>
        <w:numPr>
          <w:ilvl w:val="0"/>
          <w:numId w:val="6"/>
        </w:numPr>
        <w:tabs>
          <w:tab w:val="left" w:pos="990"/>
        </w:tabs>
        <w:ind w:left="900"/>
      </w:pPr>
      <w:r>
        <w:t>B</w:t>
      </w:r>
      <w:r w:rsidRPr="00456800">
        <w:t>ehavioral science</w:t>
      </w:r>
      <w:r w:rsidR="006811B1">
        <w:t xml:space="preserve"> – to design and asses the mentoring, especially the metrics</w:t>
      </w:r>
    </w:p>
    <w:p w:rsidR="00B82840" w:rsidRPr="00456800" w:rsidRDefault="00B82840" w:rsidP="006811B1">
      <w:pPr>
        <w:pStyle w:val="ListParagraph"/>
        <w:numPr>
          <w:ilvl w:val="0"/>
          <w:numId w:val="6"/>
        </w:numPr>
        <w:tabs>
          <w:tab w:val="left" w:pos="990"/>
        </w:tabs>
        <w:ind w:left="900"/>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  This however is only the beginning of a very lengthy process. To be meaningful work, there must be a significant effort expended in developing a realistic way of ascertaining and quantifying the goal of the effort.  That means an objective measure o</w:t>
      </w:r>
      <w:r w:rsidR="00B70817">
        <w:t xml:space="preserve">f merit must flow from a similarly well defined and justified ultimate goal. There should also be periodic measures of reported results.  </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3C4260" w:rsidRDefault="003C4260" w:rsidP="00B82840">
      <w:pPr>
        <w:pStyle w:val="ModSimRefs"/>
      </w:pPr>
      <w:proofErr w:type="spellStart"/>
      <w:proofErr w:type="gramStart"/>
      <w:r w:rsidRPr="003C4260">
        <w:lastRenderedPageBreak/>
        <w:t>Fayram</w:t>
      </w:r>
      <w:proofErr w:type="spellEnd"/>
      <w:r w:rsidRPr="003C4260">
        <w:t xml:space="preserve">, J., </w:t>
      </w:r>
      <w:proofErr w:type="spellStart"/>
      <w:r w:rsidRPr="003C4260">
        <w:t>Boswood</w:t>
      </w:r>
      <w:proofErr w:type="spellEnd"/>
      <w:r w:rsidRPr="003C4260">
        <w:t xml:space="preserve">, N., Kan, Q., </w:t>
      </w:r>
      <w:proofErr w:type="spellStart"/>
      <w:r w:rsidRPr="003C4260">
        <w:t>Motzo</w:t>
      </w:r>
      <w:proofErr w:type="spellEnd"/>
      <w:r w:rsidRPr="003C4260">
        <w:t xml:space="preserve">, A., &amp; </w:t>
      </w:r>
      <w:proofErr w:type="spellStart"/>
      <w:r w:rsidRPr="003C4260">
        <w:t>Proudfoot</w:t>
      </w:r>
      <w:proofErr w:type="spellEnd"/>
      <w:r w:rsidRPr="003C4260">
        <w:t>, A. (2018).</w:t>
      </w:r>
      <w:proofErr w:type="gramEnd"/>
      <w:r w:rsidRPr="003C4260">
        <w:t xml:space="preserve"> </w:t>
      </w:r>
      <w:proofErr w:type="gramStart"/>
      <w:r w:rsidRPr="003C4260">
        <w:t>Investigating the benefits of online peer mentoring for student confidence and motivation.</w:t>
      </w:r>
      <w:proofErr w:type="gramEnd"/>
      <w:r w:rsidRPr="003C4260">
        <w:t xml:space="preserve"> </w:t>
      </w:r>
      <w:proofErr w:type="gramStart"/>
      <w:r w:rsidRPr="005D71AE">
        <w:rPr>
          <w:i/>
        </w:rPr>
        <w:t>International Journal of mentoring and Coaching in Education.</w:t>
      </w:r>
      <w:proofErr w:type="gramEnd"/>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w:t>
      </w:r>
      <w:proofErr w:type="gramStart"/>
      <w:r w:rsidRPr="002D7193">
        <w:t>Feasibility and Usability of MentorPal, a Framework for rapid Development of virtual Mentors.</w:t>
      </w:r>
      <w:proofErr w:type="gramEnd"/>
      <w:r w:rsidRPr="002D7193">
        <w:t xml:space="preserve"> </w:t>
      </w:r>
      <w:proofErr w:type="gramStart"/>
      <w:r w:rsidRPr="002D7193">
        <w:rPr>
          <w:i/>
        </w:rPr>
        <w:t>Journal of Research on Technology in Education.</w:t>
      </w:r>
      <w:proofErr w:type="gramEnd"/>
      <w:r w:rsidRPr="002D7193">
        <w:t xml:space="preserve"> London, UK.</w:t>
      </w:r>
    </w:p>
    <w:p w:rsidR="00B82840" w:rsidRDefault="00B82840" w:rsidP="00B82840">
      <w:pPr>
        <w:pStyle w:val="ModSimRefs"/>
      </w:pPr>
      <w:proofErr w:type="gramStart"/>
      <w:r>
        <w:t>Pr</w:t>
      </w:r>
      <w:r w:rsidRPr="000915E9">
        <w:t>.</w:t>
      </w:r>
      <w:proofErr w:type="gramEnd"/>
    </w:p>
    <w:p w:rsidR="00B82840" w:rsidRDefault="003C4260" w:rsidP="00B82840">
      <w:pPr>
        <w:pStyle w:val="ModSimRefs"/>
      </w:pPr>
      <w:proofErr w:type="spellStart"/>
      <w:proofErr w:type="gramStart"/>
      <w:r w:rsidRPr="003C4260">
        <w:t>Rademaker</w:t>
      </w:r>
      <w:proofErr w:type="spellEnd"/>
      <w:r w:rsidRPr="003C4260">
        <w:t xml:space="preserve">, L. L., Duffy, J. O. C., </w:t>
      </w:r>
      <w:proofErr w:type="spellStart"/>
      <w:r w:rsidRPr="003C4260">
        <w:t>Wetzler</w:t>
      </w:r>
      <w:proofErr w:type="spellEnd"/>
      <w:r w:rsidRPr="003C4260">
        <w:t xml:space="preserve">, E., &amp; </w:t>
      </w:r>
      <w:proofErr w:type="spellStart"/>
      <w:r w:rsidRPr="003C4260">
        <w:t>Zaikina</w:t>
      </w:r>
      <w:proofErr w:type="spellEnd"/>
      <w:r w:rsidRPr="003C4260">
        <w:t>-Montgomery, H. (2016).</w:t>
      </w:r>
      <w:proofErr w:type="gramEnd"/>
      <w:r w:rsidRPr="003C4260">
        <w:t xml:space="preserve"> Chair Perceptions of Trust between Mentor and Mentee in Online Doctoral Dissertation Mentoring. </w:t>
      </w:r>
      <w:r w:rsidRPr="005D71AE">
        <w:rPr>
          <w:i/>
        </w:rPr>
        <w:t>Online Learning</w:t>
      </w:r>
      <w:r w:rsidRPr="003C4260">
        <w:t>, 20(1), 57-69</w:t>
      </w:r>
      <w:proofErr w:type="gramStart"/>
      <w:r w:rsidRPr="003C4260">
        <w:t>.</w:t>
      </w:r>
      <w:r w:rsidR="00B82840" w:rsidRPr="00EE4391">
        <w:t>.</w:t>
      </w:r>
      <w:proofErr w:type="gramEnd"/>
    </w:p>
    <w:p w:rsidR="00B82840" w:rsidRDefault="005D71AE" w:rsidP="00B82840">
      <w:pPr>
        <w:pStyle w:val="ModSimRefs"/>
      </w:pPr>
      <w:proofErr w:type="gramStart"/>
      <w:r w:rsidRPr="005D71AE">
        <w:t>Sample, S. B. (2003).</w:t>
      </w:r>
      <w:proofErr w:type="gramEnd"/>
      <w:r w:rsidRPr="005D71AE">
        <w:t xml:space="preserve"> </w:t>
      </w:r>
      <w:proofErr w:type="gramStart"/>
      <w:r w:rsidRPr="005D71AE">
        <w:rPr>
          <w:i/>
        </w:rPr>
        <w:t>The contrarian's guide to leadership</w:t>
      </w:r>
      <w:r w:rsidRPr="005D71AE">
        <w:t xml:space="preserve"> (Vol. 14).</w:t>
      </w:r>
      <w:proofErr w:type="gramEnd"/>
      <w:r w:rsidRPr="005D71AE">
        <w:t xml:space="preserve"> </w:t>
      </w:r>
      <w:proofErr w:type="gramStart"/>
      <w:r w:rsidRPr="005D71AE">
        <w:t xml:space="preserve">John Wiley &amp; </w:t>
      </w:r>
      <w:proofErr w:type="spellStart"/>
      <w:r w:rsidRPr="005D71AE">
        <w:t>Sons.</w:t>
      </w:r>
      <w:r w:rsidR="00B82840" w:rsidRPr="006C1027">
        <w:t>Tu</w:t>
      </w:r>
      <w:proofErr w:type="spellEnd"/>
      <w:r w:rsidR="00B82840">
        <w:t>.</w:t>
      </w:r>
      <w:proofErr w:type="gramEnd"/>
    </w:p>
    <w:p w:rsidR="00341165" w:rsidRDefault="00341165" w:rsidP="00B82840">
      <w:pPr>
        <w:pStyle w:val="ModSimRefs"/>
      </w:pPr>
      <w:proofErr w:type="gramStart"/>
      <w:r>
        <w:t xml:space="preserve">Vimalini, N., &amp; </w:t>
      </w:r>
      <w:proofErr w:type="spellStart"/>
      <w:r>
        <w:t>Arulrajah</w:t>
      </w:r>
      <w:proofErr w:type="spellEnd"/>
      <w:r>
        <w:t>, A. A. (2021).</w:t>
      </w:r>
      <w:proofErr w:type="gramEnd"/>
      <w:r>
        <w:t xml:space="preserve"> MENTOR The Journal of Business Studies. </w:t>
      </w:r>
      <w:proofErr w:type="gramStart"/>
      <w:r>
        <w:rPr>
          <w:i/>
          <w:iCs/>
        </w:rPr>
        <w:t>The Journal of Business</w:t>
      </w:r>
      <w:r>
        <w:t xml:space="preserve">, </w:t>
      </w:r>
      <w:r>
        <w:rPr>
          <w:i/>
          <w:iCs/>
        </w:rPr>
        <w:t>5</w:t>
      </w:r>
      <w:r>
        <w:t>, 02.</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87" w:rsidRDefault="007C0887">
      <w:r>
        <w:separator/>
      </w:r>
    </w:p>
  </w:endnote>
  <w:endnote w:type="continuationSeparator" w:id="0">
    <w:p w:rsidR="007C0887" w:rsidRDefault="007C08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D83DE0">
      <w:rPr>
        <w:i/>
        <w:snapToGrid w:val="0"/>
        <w:sz w:val="18"/>
        <w:szCs w:val="18"/>
      </w:rPr>
      <w:fldChar w:fldCharType="begin"/>
    </w:r>
    <w:r w:rsidR="00B077F4">
      <w:rPr>
        <w:i/>
        <w:snapToGrid w:val="0"/>
        <w:sz w:val="18"/>
        <w:szCs w:val="18"/>
      </w:rPr>
      <w:instrText xml:space="preserve"> PAGE </w:instrText>
    </w:r>
    <w:r w:rsidR="00D83DE0">
      <w:rPr>
        <w:i/>
        <w:snapToGrid w:val="0"/>
        <w:sz w:val="18"/>
        <w:szCs w:val="18"/>
      </w:rPr>
      <w:fldChar w:fldCharType="separate"/>
    </w:r>
    <w:r w:rsidR="00B70817">
      <w:rPr>
        <w:i/>
        <w:noProof/>
        <w:snapToGrid w:val="0"/>
        <w:sz w:val="18"/>
        <w:szCs w:val="18"/>
      </w:rPr>
      <w:t>9</w:t>
    </w:r>
    <w:r w:rsidR="00D83DE0">
      <w:rPr>
        <w:i/>
        <w:snapToGrid w:val="0"/>
        <w:sz w:val="18"/>
        <w:szCs w:val="18"/>
      </w:rPr>
      <w:fldChar w:fldCharType="end"/>
    </w:r>
    <w:r w:rsidR="00B077F4">
      <w:rPr>
        <w:i/>
        <w:snapToGrid w:val="0"/>
        <w:sz w:val="18"/>
        <w:szCs w:val="18"/>
      </w:rPr>
      <w:t xml:space="preserve"> of </w:t>
    </w:r>
    <w:r w:rsidR="00D83DE0">
      <w:rPr>
        <w:i/>
        <w:snapToGrid w:val="0"/>
        <w:sz w:val="18"/>
        <w:szCs w:val="18"/>
      </w:rPr>
      <w:fldChar w:fldCharType="begin"/>
    </w:r>
    <w:r w:rsidR="00B077F4">
      <w:rPr>
        <w:i/>
        <w:snapToGrid w:val="0"/>
        <w:sz w:val="18"/>
        <w:szCs w:val="18"/>
      </w:rPr>
      <w:instrText xml:space="preserve"> NUMPAGES </w:instrText>
    </w:r>
    <w:r w:rsidR="00D83DE0">
      <w:rPr>
        <w:i/>
        <w:snapToGrid w:val="0"/>
        <w:sz w:val="18"/>
        <w:szCs w:val="18"/>
      </w:rPr>
      <w:fldChar w:fldCharType="separate"/>
    </w:r>
    <w:r w:rsidR="00B70817">
      <w:rPr>
        <w:i/>
        <w:noProof/>
        <w:snapToGrid w:val="0"/>
        <w:sz w:val="18"/>
        <w:szCs w:val="18"/>
      </w:rPr>
      <w:t>10</w:t>
    </w:r>
    <w:r w:rsidR="00D83DE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87" w:rsidRDefault="007C0887">
      <w:r>
        <w:separator/>
      </w:r>
    </w:p>
  </w:footnote>
  <w:footnote w:type="continuationSeparator" w:id="0">
    <w:p w:rsidR="007C0887" w:rsidRDefault="007C0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142C"/>
    <w:rsid w:val="000477E1"/>
    <w:rsid w:val="000612C8"/>
    <w:rsid w:val="00065002"/>
    <w:rsid w:val="000A767C"/>
    <w:rsid w:val="000F49D9"/>
    <w:rsid w:val="001144CF"/>
    <w:rsid w:val="001172CD"/>
    <w:rsid w:val="00120F58"/>
    <w:rsid w:val="001721DA"/>
    <w:rsid w:val="001925A8"/>
    <w:rsid w:val="001B6B93"/>
    <w:rsid w:val="001D0547"/>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6289"/>
    <w:rsid w:val="00492E31"/>
    <w:rsid w:val="004C10BB"/>
    <w:rsid w:val="005063DD"/>
    <w:rsid w:val="00516003"/>
    <w:rsid w:val="00525113"/>
    <w:rsid w:val="00550480"/>
    <w:rsid w:val="00551458"/>
    <w:rsid w:val="005722B0"/>
    <w:rsid w:val="00574030"/>
    <w:rsid w:val="005743F5"/>
    <w:rsid w:val="00574692"/>
    <w:rsid w:val="005A6C55"/>
    <w:rsid w:val="005C0397"/>
    <w:rsid w:val="005C70DC"/>
    <w:rsid w:val="005D71AE"/>
    <w:rsid w:val="005D722B"/>
    <w:rsid w:val="005E0BEB"/>
    <w:rsid w:val="006811B1"/>
    <w:rsid w:val="006821FF"/>
    <w:rsid w:val="006A5131"/>
    <w:rsid w:val="006E6255"/>
    <w:rsid w:val="006E79BD"/>
    <w:rsid w:val="007024BE"/>
    <w:rsid w:val="007038B3"/>
    <w:rsid w:val="00724DCD"/>
    <w:rsid w:val="00754297"/>
    <w:rsid w:val="00755052"/>
    <w:rsid w:val="007562A1"/>
    <w:rsid w:val="00756888"/>
    <w:rsid w:val="00760ED3"/>
    <w:rsid w:val="00764D77"/>
    <w:rsid w:val="007A3A99"/>
    <w:rsid w:val="007A59B1"/>
    <w:rsid w:val="007A62D1"/>
    <w:rsid w:val="007B0D97"/>
    <w:rsid w:val="007C0887"/>
    <w:rsid w:val="007C1C8F"/>
    <w:rsid w:val="007E4F2F"/>
    <w:rsid w:val="007F44C6"/>
    <w:rsid w:val="00824B69"/>
    <w:rsid w:val="008314B1"/>
    <w:rsid w:val="00831692"/>
    <w:rsid w:val="008460A6"/>
    <w:rsid w:val="00856783"/>
    <w:rsid w:val="00873B59"/>
    <w:rsid w:val="008946FB"/>
    <w:rsid w:val="008B4167"/>
    <w:rsid w:val="008D7002"/>
    <w:rsid w:val="008E7560"/>
    <w:rsid w:val="009058F0"/>
    <w:rsid w:val="00960E20"/>
    <w:rsid w:val="009648EB"/>
    <w:rsid w:val="009954CA"/>
    <w:rsid w:val="009A12AC"/>
    <w:rsid w:val="009F4744"/>
    <w:rsid w:val="00A03E09"/>
    <w:rsid w:val="00A05585"/>
    <w:rsid w:val="00A7624A"/>
    <w:rsid w:val="00A92CBA"/>
    <w:rsid w:val="00AA07F5"/>
    <w:rsid w:val="00B0660E"/>
    <w:rsid w:val="00B077F4"/>
    <w:rsid w:val="00B1019A"/>
    <w:rsid w:val="00B16233"/>
    <w:rsid w:val="00B70817"/>
    <w:rsid w:val="00B82840"/>
    <w:rsid w:val="00BD6D61"/>
    <w:rsid w:val="00C3532D"/>
    <w:rsid w:val="00C60D06"/>
    <w:rsid w:val="00C9057B"/>
    <w:rsid w:val="00CD01F7"/>
    <w:rsid w:val="00CD4BDA"/>
    <w:rsid w:val="00CE614A"/>
    <w:rsid w:val="00D02740"/>
    <w:rsid w:val="00D565E7"/>
    <w:rsid w:val="00D831CE"/>
    <w:rsid w:val="00D83DBF"/>
    <w:rsid w:val="00D83DE0"/>
    <w:rsid w:val="00D95EC6"/>
    <w:rsid w:val="00DB019D"/>
    <w:rsid w:val="00DB1049"/>
    <w:rsid w:val="00E038BB"/>
    <w:rsid w:val="00E03FF0"/>
    <w:rsid w:val="00E073C8"/>
    <w:rsid w:val="00E11A3E"/>
    <w:rsid w:val="00E302BE"/>
    <w:rsid w:val="00E523BE"/>
    <w:rsid w:val="00E86D21"/>
    <w:rsid w:val="00E921F8"/>
    <w:rsid w:val="00EA1F29"/>
    <w:rsid w:val="00EC0787"/>
    <w:rsid w:val="00ED0EF7"/>
    <w:rsid w:val="00F12494"/>
    <w:rsid w:val="00F22FD6"/>
    <w:rsid w:val="00F24F4C"/>
    <w:rsid w:val="00F40242"/>
    <w:rsid w:val="00F512D5"/>
    <w:rsid w:val="00F57B6F"/>
    <w:rsid w:val="00F601EE"/>
    <w:rsid w:val="00F6583D"/>
    <w:rsid w:val="00F66055"/>
    <w:rsid w:val="00F9150D"/>
    <w:rsid w:val="00FB07C9"/>
    <w:rsid w:val="00FE4837"/>
    <w:rsid w:val="00FE768A"/>
    <w:rsid w:val="00FE78D2"/>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10</Pages>
  <Words>4902</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32780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2022-01-14T04:10:00Z</dcterms:created>
  <dcterms:modified xsi:type="dcterms:W3CDTF">2022-01-14T04:10:00Z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