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0EF" w:rsidRDefault="000570EF" w:rsidP="004B4C30">
      <w:r>
        <w:separator/>
      </w:r>
    </w:p>
  </w:endnote>
  <w:endnote w:type="continuationSeparator" w:id="0">
    <w:p w:rsidR="000570EF" w:rsidRDefault="000570E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306E44">
      <w:rPr>
        <w:i/>
        <w:sz w:val="18"/>
        <w:szCs w:val="18"/>
      </w:rPr>
      <w:fldChar w:fldCharType="begin"/>
    </w:r>
    <w:r>
      <w:rPr>
        <w:i/>
        <w:sz w:val="18"/>
        <w:szCs w:val="18"/>
      </w:rPr>
      <w:instrText>PAGE</w:instrText>
    </w:r>
    <w:r w:rsidR="00306E44">
      <w:rPr>
        <w:i/>
        <w:sz w:val="18"/>
        <w:szCs w:val="18"/>
      </w:rPr>
      <w:fldChar w:fldCharType="separate"/>
    </w:r>
    <w:r w:rsidR="00BE1062">
      <w:rPr>
        <w:i/>
        <w:noProof/>
        <w:sz w:val="18"/>
        <w:szCs w:val="18"/>
      </w:rPr>
      <w:t>4</w:t>
    </w:r>
    <w:r w:rsidR="00306E44">
      <w:rPr>
        <w:i/>
        <w:sz w:val="18"/>
        <w:szCs w:val="18"/>
      </w:rPr>
      <w:fldChar w:fldCharType="end"/>
    </w:r>
    <w:r>
      <w:rPr>
        <w:i/>
        <w:sz w:val="18"/>
        <w:szCs w:val="18"/>
      </w:rPr>
      <w:t xml:space="preserve"> of </w:t>
    </w:r>
    <w:r w:rsidR="00306E44">
      <w:rPr>
        <w:i/>
        <w:sz w:val="18"/>
        <w:szCs w:val="18"/>
      </w:rPr>
      <w:fldChar w:fldCharType="begin"/>
    </w:r>
    <w:r>
      <w:rPr>
        <w:i/>
        <w:sz w:val="18"/>
        <w:szCs w:val="18"/>
      </w:rPr>
      <w:instrText>NUMPAGES</w:instrText>
    </w:r>
    <w:r w:rsidR="00306E44">
      <w:rPr>
        <w:i/>
        <w:sz w:val="18"/>
        <w:szCs w:val="18"/>
      </w:rPr>
      <w:fldChar w:fldCharType="separate"/>
    </w:r>
    <w:r w:rsidR="00BE1062">
      <w:rPr>
        <w:i/>
        <w:noProof/>
        <w:sz w:val="18"/>
        <w:szCs w:val="18"/>
      </w:rPr>
      <w:t>4</w:t>
    </w:r>
    <w:r w:rsidR="00306E44">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0EF" w:rsidRDefault="000570EF" w:rsidP="004B4C30">
      <w:r>
        <w:separator/>
      </w:r>
    </w:p>
  </w:footnote>
  <w:footnote w:type="continuationSeparator" w:id="0">
    <w:p w:rsidR="000570EF" w:rsidRDefault="000570E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B0113"/>
    <w:rsid w:val="001E43FD"/>
    <w:rsid w:val="00214213"/>
    <w:rsid w:val="00283B89"/>
    <w:rsid w:val="002A2FB2"/>
    <w:rsid w:val="002C07E8"/>
    <w:rsid w:val="00306E44"/>
    <w:rsid w:val="00330460"/>
    <w:rsid w:val="00345374"/>
    <w:rsid w:val="00360D89"/>
    <w:rsid w:val="003A34B1"/>
    <w:rsid w:val="003C69C0"/>
    <w:rsid w:val="003E679D"/>
    <w:rsid w:val="0043609C"/>
    <w:rsid w:val="0045137B"/>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F3DAA"/>
    <w:rsid w:val="00DE66F7"/>
    <w:rsid w:val="00E44994"/>
    <w:rsid w:val="00EA59A1"/>
    <w:rsid w:val="00EB6D99"/>
    <w:rsid w:val="00ED74B8"/>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4</cp:revision>
  <cp:lastPrinted>2021-07-27T16:33:00Z</cp:lastPrinted>
  <dcterms:created xsi:type="dcterms:W3CDTF">2022-01-12T14:30:00Z</dcterms:created>
  <dcterms:modified xsi:type="dcterms:W3CDTF">2022-01-12T14:57:00Z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