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Default="00091B3C" w:rsidP="00CB1351">
      <w:pPr>
        <w:pStyle w:val="S-AuthAdd"/>
      </w:pPr>
      <w:r>
        <w:t>Catholic Polytechnic University</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w:t>
      </w:r>
      <w:r w:rsidR="00003769">
        <w:t>ation</w:t>
      </w:r>
      <w:r w:rsidRPr="00C44905">
        <w:t xml:space="preserve"> </w:t>
      </w:r>
      <w:r w:rsidR="00091B3C">
        <w:t>Consultant</w:t>
      </w:r>
    </w:p>
    <w:p w:rsidR="00C44905" w:rsidRPr="00C44905" w:rsidRDefault="00C44905" w:rsidP="00C44905">
      <w:pPr>
        <w:pStyle w:val="S-AuthAdd"/>
      </w:pPr>
      <w:r w:rsidRPr="00C44905">
        <w:t>Lompoc, California</w:t>
      </w:r>
    </w:p>
    <w:p w:rsidR="00C3417D" w:rsidRDefault="00091B3C" w:rsidP="00C44905">
      <w:pPr>
        <w:pStyle w:val="S-AuthAdd"/>
      </w:pPr>
      <w:r w:rsidRPr="00091B3C">
        <w:t>frjstassi@gmail.com</w:t>
      </w:r>
    </w:p>
    <w:p w:rsidR="00091B3C" w:rsidRDefault="00091B3C" w:rsidP="00C44905">
      <w:pPr>
        <w:pStyle w:val="S-AuthAdd"/>
      </w:pPr>
    </w:p>
    <w:p w:rsidR="00091B3C" w:rsidRDefault="00091B3C" w:rsidP="00C44905">
      <w:pPr>
        <w:pStyle w:val="S-AuthAdd"/>
      </w:pPr>
      <w:r>
        <w:t>Jennifer Nolan</w:t>
      </w:r>
    </w:p>
    <w:p w:rsidR="00091B3C" w:rsidRDefault="00091B3C" w:rsidP="00C44905">
      <w:pPr>
        <w:pStyle w:val="S-AuthAdd"/>
      </w:pPr>
      <w:r>
        <w:t>Catholic Polytechnic University</w:t>
      </w:r>
    </w:p>
    <w:p w:rsidR="00091B3C" w:rsidRDefault="00091B3C" w:rsidP="00C44905">
      <w:pPr>
        <w:pStyle w:val="S-AuthAdd"/>
      </w:pPr>
      <w:r>
        <w:t>Los Angeles, CA</w:t>
      </w:r>
    </w:p>
    <w:p w:rsidR="00091B3C" w:rsidRPr="00C44905" w:rsidRDefault="006C372D" w:rsidP="00C44905">
      <w:pPr>
        <w:pStyle w:val="S-AuthAdd"/>
      </w:pPr>
      <w:r w:rsidRPr="006C372D">
        <w:t>jnolan@catholicpolytechnic.org</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C44905" w:rsidRDefault="00C3417D" w:rsidP="00C44905">
      <w:pPr>
        <w:pStyle w:val="S-AuthAdd"/>
      </w:pP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B85C4D">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r w:rsidR="002C53FB">
        <w:t xml:space="preserve"> All this was done in an effort to set </w:t>
      </w:r>
      <w:r w:rsidR="007A45F5">
        <w:t>a</w:t>
      </w:r>
      <w:r w:rsidR="002C53FB">
        <w:t xml:space="preserve"> stage for standardization of terminology and metrics.</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B85C4D">
        <w:t>[1]</w:t>
      </w:r>
      <w:r>
        <w:t xml:space="preserve">. A scant fifty years after that, the US would pay in blood for not recognizing that the Civil War rifle had gotten more accurate and longer ranged </w:t>
      </w:r>
      <w:r w:rsidR="00B85C4D">
        <w:t>[</w:t>
      </w:r>
      <w:r w:rsidR="00F21327">
        <w:t>2</w:t>
      </w:r>
      <w:r w:rsidR="00B85C4D">
        <w:t>]</w:t>
      </w:r>
      <w:r>
        <w:t xml:space="preserve">. The American marksmen had grown up with firearms in their hands. Toward the end of that war, a critical thinker developed and advocated a more dispersed and agile style of attack in response to these technologies </w:t>
      </w:r>
      <w:r w:rsidR="00B85C4D">
        <w:t>[</w:t>
      </w:r>
      <w:r w:rsidR="005F1AD3">
        <w:t>3</w:t>
      </w:r>
      <w:r w:rsidR="00B85C4D">
        <w:t>]</w:t>
      </w:r>
      <w:r>
        <w:t xml:space="preserve">. But all was forgotten during the American Indian Wars and the British Colonial Wars, and that oversight led to the incredible losses in WW I </w:t>
      </w:r>
      <w:r w:rsidR="00B85C4D">
        <w:t>[</w:t>
      </w:r>
      <w:r w:rsidR="00F21327">
        <w:t>4</w:t>
      </w:r>
      <w:r w:rsidR="00B85C4D">
        <w:t xml:space="preserve">] </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B85C4D">
        <w:t>[</w:t>
      </w:r>
      <w:r w:rsidR="00F21327">
        <w:t>5</w:t>
      </w:r>
      <w:r w:rsidR="00B85C4D">
        <w:t>]</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B85C4D">
        <w:t>[</w:t>
      </w:r>
      <w:r w:rsidR="00F21327">
        <w:t>6</w:t>
      </w:r>
      <w:r w:rsidR="00B85C4D">
        <w:t>]</w:t>
      </w:r>
      <w:r>
        <w:t xml:space="preserve">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B85C4D">
        <w:t>[</w:t>
      </w:r>
      <w:r w:rsidR="00F21327">
        <w:t>7</w:t>
      </w:r>
      <w:r w:rsidR="00B85C4D">
        <w:t>]</w:t>
      </w:r>
      <w:r>
        <w:t xml:space="preserve">. Ironically, the locus of higher-level control has flowed </w:t>
      </w:r>
      <w:r>
        <w:lastRenderedPageBreak/>
        <w:t>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 xml:space="preserve">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B85C4D">
        <w:t>[</w:t>
      </w:r>
      <w:r w:rsidR="00F21327">
        <w:t>8</w:t>
      </w:r>
      <w:r w:rsidR="00B85C4D">
        <w:t>]</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B85C4D">
        <w:t>[</w:t>
      </w:r>
      <w:r w:rsidR="00F21327">
        <w:t>9</w:t>
      </w:r>
      <w:r w:rsidR="00B85C4D">
        <w:t>]</w:t>
      </w:r>
      <w:r>
        <w:t>.</w:t>
      </w:r>
    </w:p>
    <w:p w:rsidR="00455458" w:rsidRDefault="00455458" w:rsidP="00455458"/>
    <w:p w:rsidR="00455458" w:rsidRDefault="00455458" w:rsidP="00455458">
      <w:r>
        <w:t xml:space="preserve">While the term may be relatively recent </w:t>
      </w:r>
      <w:r w:rsidR="00B85C4D">
        <w:t>[</w:t>
      </w:r>
      <w:r w:rsidR="00F21327">
        <w:t>10</w:t>
      </w:r>
      <w:r w:rsidR="00B85C4D">
        <w:t>]</w:t>
      </w:r>
      <w:r>
        <w:t xml:space="preserve">, consideration of the concept has been extant since the time of the pre-Christian Greek Philosophers. </w:t>
      </w:r>
      <w:r w:rsidR="00B85C4D">
        <w:t>[</w:t>
      </w:r>
      <w:r w:rsidR="00F21327">
        <w:t>11</w:t>
      </w:r>
      <w:r w:rsidR="00B85C4D">
        <w:t>]</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B85C4D">
        <w:t>[</w:t>
      </w:r>
      <w:r w:rsidR="00F21327">
        <w:t>12</w:t>
      </w:r>
      <w:r w:rsidR="00B85C4D">
        <w:t>]</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B85C4D">
        <w:t>[</w:t>
      </w:r>
      <w:r w:rsidR="00F21327">
        <w:t>13</w:t>
      </w:r>
      <w:r w:rsidR="00B85C4D">
        <w:t>]</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B85C4D">
        <w:t>[</w:t>
      </w:r>
      <w:r w:rsidR="00F21327">
        <w:t>14</w:t>
      </w:r>
      <w:r w:rsidR="00B85C4D">
        <w:t>]</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B85C4D">
        <w:t>[</w:t>
      </w:r>
      <w:r w:rsidR="00F21327">
        <w:t>15</w:t>
      </w:r>
      <w:r w:rsidR="00B85C4D">
        <w:t>]</w:t>
      </w:r>
      <w:r>
        <w:t xml:space="preserve">.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B85C4D">
        <w:t>[</w:t>
      </w:r>
      <w:proofErr w:type="gramStart"/>
      <w:r w:rsidR="00F21327">
        <w:t xml:space="preserve">16 </w:t>
      </w:r>
      <w:r w:rsidR="00B85C4D">
        <w:t>]</w:t>
      </w:r>
      <w:proofErr w:type="gramEnd"/>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B85C4D">
        <w:t>[</w:t>
      </w:r>
      <w:r w:rsidR="00F21327">
        <w:t>17</w:t>
      </w:r>
      <w:r w:rsidR="00B85C4D">
        <w:t>]</w:t>
      </w:r>
      <w:r>
        <w:t xml:space="preserve">, Mahan </w:t>
      </w:r>
      <w:r w:rsidR="00B85C4D">
        <w:t>[</w:t>
      </w:r>
      <w:r w:rsidR="00F21327">
        <w:t>18</w:t>
      </w:r>
      <w:r w:rsidR="00B85C4D">
        <w:t>]</w:t>
      </w:r>
      <w:r>
        <w:t xml:space="preserve">, Hart </w:t>
      </w:r>
      <w:r w:rsidR="00B85C4D">
        <w:t>[</w:t>
      </w:r>
      <w:r w:rsidR="00F21327">
        <w:t>19</w:t>
      </w:r>
      <w:r w:rsidR="00B85C4D">
        <w:t>]</w:t>
      </w:r>
      <w:r>
        <w:t xml:space="preserve">, and Scales. </w:t>
      </w:r>
      <w:r w:rsidR="00B85C4D">
        <w:t>[</w:t>
      </w:r>
      <w:r w:rsidR="00F21327">
        <w:t>20</w:t>
      </w:r>
      <w:r w:rsidR="00B85C4D">
        <w:t>]</w:t>
      </w:r>
      <w:r>
        <w:t>.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 xml:space="preserve">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B85C4D">
        <w:t>[</w:t>
      </w:r>
      <w:r w:rsidR="00F21327">
        <w:t>21</w:t>
      </w:r>
      <w:r w:rsidR="00B85C4D">
        <w:t>]</w:t>
      </w:r>
      <w:r>
        <w:t xml:space="preserve">.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B85C4D">
        <w:t>[</w:t>
      </w:r>
      <w:proofErr w:type="gramStart"/>
      <w:r w:rsidR="00F21327">
        <w:t xml:space="preserve">22 </w:t>
      </w:r>
      <w:r w:rsidR="00B85C4D">
        <w:t>]</w:t>
      </w:r>
      <w:proofErr w:type="gramEnd"/>
      <w:r>
        <w:t xml:space="preserve">. There has been significant discussion about times when metacognition is not productive </w:t>
      </w:r>
      <w:r w:rsidR="00B85C4D">
        <w:t>[</w:t>
      </w:r>
      <w:r w:rsidR="00F21327">
        <w:t>23</w:t>
      </w:r>
      <w:r w:rsidR="00B85C4D">
        <w:t>]</w:t>
      </w:r>
      <w:r>
        <w:t>.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rsidR="00B85C4D">
        <w:t>[</w:t>
      </w:r>
      <w:r w:rsidR="00F21327">
        <w:t>24</w:t>
      </w:r>
      <w:r w:rsidR="00B85C4D">
        <w:t>]</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B85C4D">
        <w:t>[</w:t>
      </w:r>
      <w:r w:rsidR="00F21327">
        <w:t>25</w:t>
      </w:r>
      <w:r w:rsidR="00B85C4D">
        <w:t>]</w:t>
      </w:r>
      <w:r w:rsidRPr="000915E9">
        <w:t>.</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w:t>
      </w:r>
      <w:r w:rsidR="00EC7321">
        <w:t xml:space="preserve"> The authors see this </w:t>
      </w:r>
      <w:proofErr w:type="gramStart"/>
      <w:r w:rsidR="00EC7321">
        <w:t>a  critical</w:t>
      </w:r>
      <w:proofErr w:type="gramEnd"/>
      <w:r w:rsidR="00EC7321">
        <w:t xml:space="preserve"> and fundamental issue, as a generally accepted definition is required, both to study the issue and to validate and make use of the research into the issue.</w:t>
      </w:r>
      <w:r>
        <w:t xml:space="preserv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r w:rsidR="00B85C4D">
        <w:t>[</w:t>
      </w:r>
      <w:r w:rsidR="00F21327">
        <w:t>26</w:t>
      </w:r>
      <w:r w:rsidR="00B85C4D">
        <w:t>]</w:t>
      </w:r>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B85C4D">
        <w:t>[</w:t>
      </w:r>
      <w:r w:rsidR="00F21327">
        <w:t>27</w:t>
      </w:r>
      <w:r w:rsidR="00B85C4D">
        <w:t>]</w:t>
      </w:r>
      <w:r>
        <w:t xml:space="preserve">. To find a more contextually satisfying definition; counsel was sought from a few close academic and military brethren. </w:t>
      </w:r>
      <w:r w:rsidR="00EC7321">
        <w:t>This research effort was not designed to pass statistically rigorous standards;  it was merely an attempt to reconcile a more casual approach to reassuring the authors they were not just responding to their own narrow views and limited experience.</w:t>
      </w:r>
    </w:p>
    <w:p w:rsidR="00B85C4D" w:rsidRDefault="00B85C4D" w:rsidP="00455458"/>
    <w:p w:rsidR="00B85C4D" w:rsidRDefault="00B85C4D" w:rsidP="00B85C4D">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any way with the name of the persons responding to the poll. The URL address for the survey is: </w:t>
      </w:r>
      <w:r w:rsidRPr="003D5E12">
        <w:t>http://www.hpc-educ.org/Danz/CrtThnkSurvRedirect.html</w:t>
      </w:r>
    </w:p>
    <w:p w:rsidR="00455458" w:rsidRDefault="00455458" w:rsidP="00455458"/>
    <w:p w:rsidR="00EC7321" w:rsidRDefault="00455458" w:rsidP="00455458">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w:t>
      </w:r>
    </w:p>
    <w:p w:rsidR="00EC7321" w:rsidRDefault="00EC7321" w:rsidP="00455458"/>
    <w:p w:rsidR="00455458" w:rsidRDefault="00455458" w:rsidP="00455458">
      <w:r>
        <w:t xml:space="preserve">The participants were further asked to forward their own invitation to veterans and civilians they knew that would be likely to have </w:t>
      </w:r>
      <w:r w:rsidR="00EC7321">
        <w:t>input</w:t>
      </w:r>
      <w:r>
        <w:t xml:space="preserve">. This technique is called “snowball sampling”; many feel these surveys have both limitations and legitimate uses </w:t>
      </w:r>
      <w:r w:rsidR="00B85C4D">
        <w:t>[</w:t>
      </w:r>
      <w:r w:rsidR="00F21327">
        <w:t>28</w:t>
      </w:r>
      <w:r w:rsidR="00B85C4D">
        <w:t>]</w:t>
      </w:r>
      <w:r>
        <w:t xml:space="preserve">. The survey consisted of a brief introduction, collection of demographic data, four questions on familiarity and use of the term and a 13-item Likert-style survey of the indicia of critical thinking. That was followed by </w:t>
      </w:r>
      <w:r>
        <w:lastRenderedPageBreak/>
        <w:t xml:space="preserve">text boxes to add to the issues under consideration. This was created using HTML forms for the survey page and PHP code for the data processing, storage and analytic functions. The top of the survey instrument appears in </w:t>
      </w:r>
      <w:proofErr w:type="spellStart"/>
      <w:r w:rsidR="00EC7321">
        <w:t>Fgure</w:t>
      </w:r>
      <w:proofErr w:type="spellEnd"/>
      <w:r w:rsidR="00EC7321">
        <w:t xml:space="preserve"> 2.</w:t>
      </w:r>
      <w:r w:rsidR="00B85C4D">
        <w:t>1</w:t>
      </w:r>
      <w:r>
        <w:t>.</w:t>
      </w:r>
    </w:p>
    <w:p w:rsidR="00455458" w:rsidRDefault="00455458" w:rsidP="00455458"/>
    <w:p w:rsidR="00455458" w:rsidRDefault="00455458" w:rsidP="00455458">
      <w:pPr>
        <w:jc w:val="center"/>
      </w:pPr>
      <w:r>
        <w:rPr>
          <w:noProof/>
        </w:rPr>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4"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B85C4D" w:rsidRPr="00BD2E30" w:rsidRDefault="00455458" w:rsidP="00BD2E30">
      <w:pPr>
        <w:pStyle w:val="Caption"/>
        <w:jc w:val="center"/>
        <w:rPr>
          <w:color w:val="auto"/>
        </w:rPr>
      </w:pPr>
      <w:bookmarkStart w:id="0" w:name="_Ref40084727"/>
      <w:proofErr w:type="gramStart"/>
      <w:r w:rsidRPr="007E31A5">
        <w:rPr>
          <w:color w:val="auto"/>
        </w:rPr>
        <w:t xml:space="preserve">Figure </w:t>
      </w:r>
      <w:r w:rsidR="00003769">
        <w:rPr>
          <w:color w:val="auto"/>
        </w:rPr>
        <w:t>2.</w:t>
      </w:r>
      <w:proofErr w:type="gramEnd"/>
      <w:r w:rsidR="00B64E3E" w:rsidRPr="007E31A5">
        <w:rPr>
          <w:color w:val="auto"/>
        </w:rPr>
        <w:fldChar w:fldCharType="begin"/>
      </w:r>
      <w:r w:rsidRPr="007E31A5">
        <w:rPr>
          <w:color w:val="auto"/>
        </w:rPr>
        <w:instrText xml:space="preserve"> SEQ Figure \* ARABIC </w:instrText>
      </w:r>
      <w:r w:rsidR="00B64E3E" w:rsidRPr="007E31A5">
        <w:rPr>
          <w:color w:val="auto"/>
        </w:rPr>
        <w:fldChar w:fldCharType="separate"/>
      </w:r>
      <w:r w:rsidR="00C5348C">
        <w:rPr>
          <w:noProof/>
          <w:color w:val="auto"/>
        </w:rPr>
        <w:t>1</w:t>
      </w:r>
      <w:r w:rsidR="00B64E3E" w:rsidRPr="007E31A5">
        <w:rPr>
          <w:color w:val="auto"/>
        </w:rPr>
        <w:fldChar w:fldCharType="end"/>
      </w:r>
      <w:bookmarkEnd w:id="0"/>
      <w:r>
        <w:rPr>
          <w:color w:val="auto"/>
        </w:rPr>
        <w:t>.</w:t>
      </w:r>
      <w:r w:rsidR="00003769">
        <w:rPr>
          <w:color w:val="auto"/>
        </w:rPr>
        <w:t xml:space="preserve"> Informal </w:t>
      </w:r>
      <w:r w:rsidRPr="007E31A5">
        <w:rPr>
          <w:color w:val="auto"/>
        </w:rPr>
        <w:t>Ethnographic Survey on Critical Thinking</w:t>
      </w:r>
    </w:p>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r w:rsidR="00B85C4D">
        <w:t>phase, which</w:t>
      </w:r>
      <w:r>
        <w:t xml:space="preserve"> checks to see if the input internet address is the same as the current one, in which case a </w:t>
      </w:r>
      <w:r w:rsidR="00B85C4D">
        <w:t>pop-up</w:t>
      </w:r>
      <w:r>
        <w:t xml:space="preserve"> window advises the </w:t>
      </w:r>
      <w:r w:rsidR="00B85C4D">
        <w:t>user</w:t>
      </w:r>
      <w:r>
        <w:t xml:space="preserve"> to contact the </w:t>
      </w:r>
      <w:r w:rsidRPr="002B2C82">
        <w:rPr>
          <w:i/>
        </w:rPr>
        <w:t>webmeister</w:t>
      </w:r>
      <w:r>
        <w:t xml:space="preserve"> to resolve the matter. </w:t>
      </w:r>
    </w:p>
    <w:p w:rsidR="00455458" w:rsidRDefault="00B64E3E" w:rsidP="00455458">
      <w:r>
        <w:rPr>
          <w:noProof/>
        </w:rPr>
        <w:pict>
          <v:shapetype id="_x0000_t202" coordsize="21600,21600" o:spt="202" path="m,l,21600r21600,l21600,xe">
            <v:stroke joinstyle="miter"/>
            <v:path gradientshapeok="t" o:connecttype="rect"/>
          </v:shapetype>
          <v:shape id="_x0000_s1032" type="#_x0000_t202" style="position:absolute;left:0;text-align:left;margin-left:290.75pt;margin-top:.1pt;width:201.4pt;height:223.35pt;z-index:251662336" stroked="f">
            <v:textbox style="mso-next-textbox:#_x0000_s1032">
              <w:txbxContent>
                <w:p w:rsidR="00B85C4D" w:rsidRDefault="00B85C4D"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5" cstate="print"/>
                                <a:stretch>
                                  <a:fillRect/>
                                </a:stretch>
                              </pic:blipFill>
                              <pic:spPr>
                                <a:xfrm>
                                  <a:off x="0" y="0"/>
                                  <a:ext cx="2382520" cy="2612834"/>
                                </a:xfrm>
                                <a:prstGeom prst="rect">
                                  <a:avLst/>
                                </a:prstGeom>
                              </pic:spPr>
                            </pic:pic>
                          </a:graphicData>
                        </a:graphic>
                      </wp:inline>
                    </w:drawing>
                  </w:r>
                </w:p>
                <w:p w:rsidR="00B85C4D" w:rsidRPr="00FD590C" w:rsidRDefault="00B85C4D" w:rsidP="00F21327">
                  <w:pPr>
                    <w:pStyle w:val="Caption"/>
                    <w:jc w:val="center"/>
                    <w:rPr>
                      <w:color w:val="auto"/>
                    </w:rPr>
                  </w:pPr>
                  <w:bookmarkStart w:id="1" w:name="_Ref43037004"/>
                  <w:proofErr w:type="gramStart"/>
                  <w:r w:rsidRPr="00FD590C">
                    <w:rPr>
                      <w:color w:val="auto"/>
                    </w:rPr>
                    <w:t>Figure</w:t>
                  </w:r>
                  <w:bookmarkEnd w:id="1"/>
                  <w:r w:rsidR="00EC7321">
                    <w:rPr>
                      <w:color w:val="auto"/>
                    </w:rPr>
                    <w:t xml:space="preserve"> 2.2</w:t>
                  </w:r>
                  <w:r w:rsidRPr="00FD590C">
                    <w:rPr>
                      <w:color w:val="auto"/>
                    </w:rPr>
                    <w:t>.</w:t>
                  </w:r>
                  <w:proofErr w:type="gramEnd"/>
                  <w:r w:rsidRPr="00FD590C">
                    <w:rPr>
                      <w:color w:val="auto"/>
                    </w:rPr>
                    <w:t xml:space="preserve"> Responses as shown to user</w:t>
                  </w:r>
                </w:p>
                <w:p w:rsidR="00B85C4D" w:rsidRDefault="00B85C4D" w:rsidP="00F21327">
                  <w:pPr>
                    <w:jc w:val="center"/>
                  </w:pPr>
                </w:p>
                <w:p w:rsidR="00B85C4D" w:rsidRDefault="00B85C4D" w:rsidP="00F21327">
                  <w:pPr>
                    <w:jc w:val="center"/>
                  </w:pPr>
                </w:p>
                <w:p w:rsidR="00B85C4D" w:rsidRDefault="00B85C4D" w:rsidP="00F21327">
                  <w:pPr>
                    <w:jc w:val="center"/>
                  </w:pPr>
                </w:p>
              </w:txbxContent>
            </v:textbox>
            <w10:wrap type="square"/>
          </v:shape>
        </w:pict>
      </w:r>
    </w:p>
    <w:p w:rsidR="00455458" w:rsidRDefault="00455458" w:rsidP="00EC7321">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455458" w:rsidP="00455458">
      <w:r>
        <w:t xml:space="preserve">The users’ answers were then reflected </w:t>
      </w:r>
      <w:r w:rsidR="00003769">
        <w:t xml:space="preserve">back </w:t>
      </w:r>
      <w:r>
        <w:t xml:space="preserve">to the user as is shown in </w:t>
      </w:r>
      <w:fldSimple w:instr=" REF _Ref43037004 \h  \* MERGEFORMAT ">
        <w:r w:rsidR="00C5348C" w:rsidRPr="00FD590C">
          <w:t>Figure</w:t>
        </w:r>
      </w:fldSimple>
      <w:r w:rsidR="00003769">
        <w:t xml:space="preserve"> 2</w:t>
      </w:r>
      <w:r w:rsidR="00EC7321" w:rsidRPr="00EC7321">
        <w:rPr>
          <w:bCs/>
        </w:rPr>
        <w:t>.2 to the right</w:t>
      </w:r>
      <w:r w:rsidRPr="00EC7321">
        <w:t xml:space="preserve">. </w:t>
      </w:r>
      <w:r>
        <w:t xml:space="preserve">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w:t>
      </w:r>
      <w:r w:rsidR="00C5348C">
        <w:t>, the first few rows of which are</w:t>
      </w:r>
      <w:r>
        <w:t xml:space="preserve"> shown in </w:t>
      </w:r>
      <w:r w:rsidR="00003769">
        <w:t>2.3</w:t>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6"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proofErr w:type="gramStart"/>
      <w:r w:rsidRPr="00DC5142">
        <w:rPr>
          <w:color w:val="auto"/>
        </w:rPr>
        <w:t xml:space="preserve">Figure </w:t>
      </w:r>
      <w:bookmarkEnd w:id="2"/>
      <w:r w:rsidR="00003769">
        <w:rPr>
          <w:color w:val="auto"/>
        </w:rPr>
        <w:t>2.3</w:t>
      </w:r>
      <w:r w:rsidR="00CD3262">
        <w:rPr>
          <w:color w:val="auto"/>
        </w:rPr>
        <w:t>.</w:t>
      </w:r>
      <w:proofErr w:type="gramEnd"/>
      <w:r w:rsidRPr="00DC5142">
        <w:rPr>
          <w:color w:val="auto"/>
        </w:rPr>
        <w:t xml:space="preserve">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responses are set forth in</w:t>
      </w:r>
      <w:r w:rsidR="00EE5DB0">
        <w:t xml:space="preserve"> Table 2</w:t>
      </w:r>
      <w:r w:rsidR="00B85C4D">
        <w:t>.1</w:t>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bookmarkEnd w:id="3"/>
      <w:r w:rsidR="00EE5DB0">
        <w:rPr>
          <w:color w:val="auto"/>
        </w:rPr>
        <w:t>2</w:t>
      </w:r>
      <w:r w:rsidR="00B85C4D">
        <w:rPr>
          <w:color w:val="auto"/>
        </w:rPr>
        <w:t>.1</w:t>
      </w:r>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B85C4D">
        <w:tc>
          <w:tcPr>
            <w:tcW w:w="2628" w:type="dxa"/>
          </w:tcPr>
          <w:p w:rsidR="00455458" w:rsidRPr="006C1716" w:rsidRDefault="00455458" w:rsidP="00B85C4D">
            <w:pPr>
              <w:jc w:val="center"/>
              <w:rPr>
                <w:b/>
                <w:sz w:val="18"/>
              </w:rPr>
            </w:pPr>
            <w:r w:rsidRPr="006C1716">
              <w:rPr>
                <w:b/>
                <w:sz w:val="18"/>
              </w:rPr>
              <w:t>Familiar with term:</w:t>
            </w:r>
          </w:p>
        </w:tc>
        <w:tc>
          <w:tcPr>
            <w:tcW w:w="2070" w:type="dxa"/>
          </w:tcPr>
          <w:p w:rsidR="00455458" w:rsidRPr="006C1716" w:rsidRDefault="00455458" w:rsidP="00B85C4D">
            <w:pPr>
              <w:jc w:val="center"/>
              <w:rPr>
                <w:b/>
                <w:sz w:val="18"/>
              </w:rPr>
            </w:pPr>
            <w:r w:rsidRPr="006C1716">
              <w:rPr>
                <w:b/>
                <w:sz w:val="18"/>
              </w:rPr>
              <w:t>Term Importance:</w:t>
            </w:r>
          </w:p>
        </w:tc>
        <w:tc>
          <w:tcPr>
            <w:tcW w:w="2340" w:type="dxa"/>
          </w:tcPr>
          <w:p w:rsidR="00455458" w:rsidRPr="006C1716" w:rsidRDefault="00455458" w:rsidP="00B85C4D">
            <w:pPr>
              <w:jc w:val="center"/>
              <w:rPr>
                <w:b/>
                <w:sz w:val="18"/>
              </w:rPr>
            </w:pPr>
            <w:r w:rsidRPr="006C1716">
              <w:rPr>
                <w:b/>
                <w:sz w:val="18"/>
              </w:rPr>
              <w:t>Definition experience:</w:t>
            </w:r>
          </w:p>
        </w:tc>
        <w:tc>
          <w:tcPr>
            <w:tcW w:w="2340" w:type="dxa"/>
          </w:tcPr>
          <w:p w:rsidR="00455458" w:rsidRPr="006C1716" w:rsidRDefault="00455458" w:rsidP="00B85C4D">
            <w:pPr>
              <w:jc w:val="center"/>
              <w:rPr>
                <w:b/>
                <w:sz w:val="18"/>
              </w:rPr>
            </w:pPr>
            <w:r w:rsidRPr="006C1716">
              <w:rPr>
                <w:b/>
                <w:sz w:val="18"/>
              </w:rPr>
              <w:t>Own vision of term:</w:t>
            </w:r>
          </w:p>
        </w:tc>
      </w:tr>
      <w:tr w:rsidR="00455458" w:rsidRPr="001E2174" w:rsidTr="00B85C4D">
        <w:tc>
          <w:tcPr>
            <w:tcW w:w="2628" w:type="dxa"/>
          </w:tcPr>
          <w:p w:rsidR="00455458" w:rsidRPr="001E2174" w:rsidRDefault="00455458" w:rsidP="00B85C4D">
            <w:pPr>
              <w:rPr>
                <w:sz w:val="18"/>
              </w:rPr>
            </w:pPr>
            <w:r>
              <w:rPr>
                <w:sz w:val="18"/>
              </w:rPr>
              <w:t xml:space="preserve"> </w:t>
            </w:r>
            <w:r w:rsidRPr="001E2174">
              <w:rPr>
                <w:sz w:val="18"/>
              </w:rPr>
              <w:t>4 Never heard the word used</w:t>
            </w:r>
          </w:p>
          <w:p w:rsidR="00455458" w:rsidRPr="001E2174" w:rsidRDefault="00455458" w:rsidP="00B85C4D">
            <w:pPr>
              <w:rPr>
                <w:sz w:val="18"/>
              </w:rPr>
            </w:pPr>
            <w:r>
              <w:rPr>
                <w:sz w:val="18"/>
              </w:rPr>
              <w:t xml:space="preserve"> </w:t>
            </w:r>
            <w:r w:rsidRPr="001E2174">
              <w:rPr>
                <w:sz w:val="18"/>
              </w:rPr>
              <w:t>4 Have heard others use it</w:t>
            </w:r>
          </w:p>
          <w:p w:rsidR="00455458" w:rsidRPr="001E2174" w:rsidRDefault="00455458" w:rsidP="00B85C4D">
            <w:pPr>
              <w:rPr>
                <w:sz w:val="18"/>
              </w:rPr>
            </w:pPr>
            <w:r w:rsidRPr="001E2174">
              <w:rPr>
                <w:sz w:val="18"/>
              </w:rPr>
              <w:t>16 Have used it a little</w:t>
            </w:r>
          </w:p>
          <w:p w:rsidR="00455458" w:rsidRPr="001E2174" w:rsidRDefault="00455458" w:rsidP="00B85C4D">
            <w:pPr>
              <w:rPr>
                <w:sz w:val="18"/>
              </w:rPr>
            </w:pPr>
            <w:r w:rsidRPr="001E2174">
              <w:rPr>
                <w:sz w:val="18"/>
              </w:rPr>
              <w:t>20 Used it and am interested</w:t>
            </w:r>
          </w:p>
          <w:p w:rsidR="00455458" w:rsidRPr="001E2174" w:rsidRDefault="00455458" w:rsidP="00B85C4D">
            <w:pPr>
              <w:rPr>
                <w:sz w:val="18"/>
              </w:rPr>
            </w:pPr>
            <w:r>
              <w:rPr>
                <w:sz w:val="18"/>
              </w:rPr>
              <w:t xml:space="preserve"> </w:t>
            </w:r>
            <w:r w:rsidRPr="001E2174">
              <w:rPr>
                <w:sz w:val="18"/>
              </w:rPr>
              <w:t>6 Deeply Involved</w:t>
            </w:r>
          </w:p>
          <w:p w:rsidR="00455458" w:rsidRPr="001E2174" w:rsidRDefault="00455458" w:rsidP="00B85C4D">
            <w:pPr>
              <w:rPr>
                <w:sz w:val="18"/>
              </w:rPr>
            </w:pPr>
            <w:r w:rsidRPr="001E2174">
              <w:rPr>
                <w:sz w:val="18"/>
              </w:rPr>
              <w:t>10 Participated in Discussion</w:t>
            </w:r>
          </w:p>
        </w:tc>
        <w:tc>
          <w:tcPr>
            <w:tcW w:w="2070" w:type="dxa"/>
          </w:tcPr>
          <w:p w:rsidR="00455458" w:rsidRPr="001E2174" w:rsidRDefault="00455458" w:rsidP="00B85C4D">
            <w:pPr>
              <w:rPr>
                <w:sz w:val="18"/>
              </w:rPr>
            </w:pPr>
            <w:r w:rsidRPr="001E2174">
              <w:rPr>
                <w:sz w:val="18"/>
              </w:rPr>
              <w:t>11 Not Important</w:t>
            </w:r>
          </w:p>
          <w:p w:rsidR="00455458" w:rsidRPr="001E2174" w:rsidRDefault="00455458" w:rsidP="00B85C4D">
            <w:pPr>
              <w:rPr>
                <w:sz w:val="18"/>
              </w:rPr>
            </w:pPr>
            <w:r>
              <w:rPr>
                <w:sz w:val="18"/>
              </w:rPr>
              <w:t xml:space="preserve"> </w:t>
            </w:r>
            <w:r w:rsidRPr="001E2174">
              <w:rPr>
                <w:sz w:val="18"/>
              </w:rPr>
              <w:t>0 Interesting</w:t>
            </w:r>
          </w:p>
          <w:p w:rsidR="00455458" w:rsidRPr="001E2174" w:rsidRDefault="00455458" w:rsidP="00B85C4D">
            <w:pPr>
              <w:rPr>
                <w:sz w:val="18"/>
              </w:rPr>
            </w:pPr>
            <w:r w:rsidRPr="001E2174">
              <w:rPr>
                <w:sz w:val="18"/>
              </w:rPr>
              <w:t>24 Useful Concept</w:t>
            </w:r>
          </w:p>
          <w:p w:rsidR="00455458" w:rsidRPr="001E2174" w:rsidRDefault="00455458" w:rsidP="00B85C4D">
            <w:pPr>
              <w:rPr>
                <w:sz w:val="18"/>
              </w:rPr>
            </w:pPr>
            <w:r>
              <w:rPr>
                <w:sz w:val="18"/>
              </w:rPr>
              <w:t xml:space="preserve"> </w:t>
            </w:r>
            <w:r w:rsidRPr="001E2174">
              <w:rPr>
                <w:sz w:val="18"/>
              </w:rPr>
              <w:t>0 Important to Others</w:t>
            </w:r>
          </w:p>
          <w:p w:rsidR="00455458" w:rsidRPr="001E2174" w:rsidRDefault="00455458" w:rsidP="00B85C4D">
            <w:pPr>
              <w:rPr>
                <w:sz w:val="18"/>
              </w:rPr>
            </w:pPr>
            <w:r w:rsidRPr="001E2174">
              <w:rPr>
                <w:sz w:val="18"/>
              </w:rPr>
              <w:t>15 Important to me</w:t>
            </w:r>
          </w:p>
          <w:p w:rsidR="00455458" w:rsidRPr="001E2174" w:rsidRDefault="00455458" w:rsidP="00B85C4D">
            <w:pPr>
              <w:rPr>
                <w:sz w:val="18"/>
              </w:rPr>
            </w:pPr>
            <w:r w:rsidRPr="001E2174">
              <w:rPr>
                <w:sz w:val="18"/>
              </w:rPr>
              <w:t>10 Vital to all</w:t>
            </w:r>
          </w:p>
        </w:tc>
        <w:tc>
          <w:tcPr>
            <w:tcW w:w="2340" w:type="dxa"/>
          </w:tcPr>
          <w:p w:rsidR="00455458" w:rsidRPr="001E2174" w:rsidRDefault="00455458" w:rsidP="00B85C4D">
            <w:pPr>
              <w:rPr>
                <w:sz w:val="18"/>
              </w:rPr>
            </w:pPr>
            <w:r w:rsidRPr="001E2174">
              <w:rPr>
                <w:sz w:val="18"/>
              </w:rPr>
              <w:t>10 Never Seen</w:t>
            </w:r>
          </w:p>
          <w:p w:rsidR="00455458" w:rsidRPr="001E2174" w:rsidRDefault="00455458" w:rsidP="00B85C4D">
            <w:pPr>
              <w:rPr>
                <w:sz w:val="18"/>
              </w:rPr>
            </w:pPr>
            <w:r>
              <w:rPr>
                <w:sz w:val="18"/>
              </w:rPr>
              <w:t xml:space="preserve"> </w:t>
            </w:r>
            <w:r w:rsidRPr="001E2174">
              <w:rPr>
                <w:sz w:val="18"/>
              </w:rPr>
              <w:t>4 No Consensus</w:t>
            </w:r>
          </w:p>
          <w:p w:rsidR="00455458" w:rsidRPr="001E2174" w:rsidRDefault="00455458" w:rsidP="00B85C4D">
            <w:pPr>
              <w:rPr>
                <w:sz w:val="18"/>
              </w:rPr>
            </w:pPr>
            <w:r w:rsidRPr="001E2174">
              <w:rPr>
                <w:sz w:val="18"/>
              </w:rPr>
              <w:t>19 Competing Definitions</w:t>
            </w:r>
          </w:p>
          <w:p w:rsidR="00455458" w:rsidRPr="001E2174" w:rsidRDefault="00455458" w:rsidP="00B85C4D">
            <w:pPr>
              <w:rPr>
                <w:sz w:val="18"/>
              </w:rPr>
            </w:pPr>
            <w:r w:rsidRPr="001E2174">
              <w:rPr>
                <w:sz w:val="18"/>
              </w:rPr>
              <w:t>27 Mine Evolving</w:t>
            </w:r>
          </w:p>
          <w:p w:rsidR="00455458" w:rsidRPr="001E2174" w:rsidRDefault="00455458" w:rsidP="00B85C4D">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B85C4D">
            <w:pPr>
              <w:rPr>
                <w:sz w:val="18"/>
              </w:rPr>
            </w:pPr>
            <w:r>
              <w:rPr>
                <w:sz w:val="18"/>
              </w:rPr>
              <w:t xml:space="preserve"> </w:t>
            </w:r>
            <w:r w:rsidRPr="001E2174">
              <w:rPr>
                <w:sz w:val="18"/>
              </w:rPr>
              <w:t>0 Universal Term</w:t>
            </w:r>
          </w:p>
        </w:tc>
        <w:tc>
          <w:tcPr>
            <w:tcW w:w="2340" w:type="dxa"/>
          </w:tcPr>
          <w:p w:rsidR="00455458" w:rsidRPr="001E2174" w:rsidRDefault="00455458" w:rsidP="00B85C4D">
            <w:pPr>
              <w:rPr>
                <w:sz w:val="18"/>
              </w:rPr>
            </w:pPr>
            <w:r>
              <w:rPr>
                <w:sz w:val="18"/>
              </w:rPr>
              <w:t xml:space="preserve"> </w:t>
            </w:r>
            <w:r w:rsidRPr="001E2174">
              <w:rPr>
                <w:sz w:val="18"/>
              </w:rPr>
              <w:t>4 Never Considered</w:t>
            </w:r>
          </w:p>
          <w:p w:rsidR="00455458" w:rsidRPr="001E2174" w:rsidRDefault="00455458" w:rsidP="00B85C4D">
            <w:pPr>
              <w:rPr>
                <w:sz w:val="18"/>
              </w:rPr>
            </w:pPr>
            <w:r>
              <w:rPr>
                <w:sz w:val="18"/>
              </w:rPr>
              <w:t xml:space="preserve"> </w:t>
            </w:r>
            <w:r w:rsidRPr="001E2174">
              <w:rPr>
                <w:sz w:val="18"/>
              </w:rPr>
              <w:t>2 Nebulous</w:t>
            </w:r>
          </w:p>
          <w:p w:rsidR="00455458" w:rsidRPr="001E2174" w:rsidRDefault="00455458" w:rsidP="00B85C4D">
            <w:pPr>
              <w:rPr>
                <w:sz w:val="18"/>
              </w:rPr>
            </w:pPr>
            <w:r w:rsidRPr="001E2174">
              <w:rPr>
                <w:sz w:val="18"/>
              </w:rPr>
              <w:t>23 Open to new</w:t>
            </w:r>
          </w:p>
          <w:p w:rsidR="00455458" w:rsidRPr="001E2174" w:rsidRDefault="00455458" w:rsidP="00B85C4D">
            <w:pPr>
              <w:rPr>
                <w:sz w:val="18"/>
              </w:rPr>
            </w:pPr>
            <w:r w:rsidRPr="001E2174">
              <w:rPr>
                <w:sz w:val="18"/>
              </w:rPr>
              <w:t>11 Will Adopt Others</w:t>
            </w:r>
          </w:p>
          <w:p w:rsidR="00455458" w:rsidRPr="001E2174" w:rsidRDefault="00455458" w:rsidP="00B85C4D">
            <w:pPr>
              <w:rPr>
                <w:sz w:val="18"/>
              </w:rPr>
            </w:pPr>
            <w:r w:rsidRPr="001E2174">
              <w:rPr>
                <w:sz w:val="18"/>
              </w:rPr>
              <w:t>20 Comfortable with mine</w:t>
            </w:r>
          </w:p>
          <w:p w:rsidR="00455458" w:rsidRPr="001E2174" w:rsidRDefault="00455458" w:rsidP="00B85C4D">
            <w:pPr>
              <w:rPr>
                <w:sz w:val="18"/>
              </w:rPr>
            </w:pPr>
            <w:r>
              <w:rPr>
                <w:sz w:val="18"/>
              </w:rPr>
              <w:t xml:space="preserve"> </w:t>
            </w:r>
            <w:r w:rsidRPr="001E2174">
              <w:rPr>
                <w:sz w:val="18"/>
              </w:rPr>
              <w:t>0 Committed to mine</w:t>
            </w:r>
          </w:p>
        </w:tc>
      </w:tr>
    </w:tbl>
    <w:p w:rsidR="00167933" w:rsidRPr="00E00076" w:rsidRDefault="00167933" w:rsidP="00455458"/>
    <w:p w:rsidR="00B85C4D"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r w:rsidR="00B85C4D">
        <w:t xml:space="preserve">This again is reflective of the need to better define the standards used in term definition and quantification metrics. Such common </w:t>
      </w:r>
      <w:proofErr w:type="gramStart"/>
      <w:r w:rsidR="00B85C4D">
        <w:t>understanding</w:t>
      </w:r>
      <w:proofErr w:type="gramEnd"/>
      <w:r w:rsidR="00B85C4D">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p>
    <w:p w:rsidR="00455458" w:rsidRDefault="00455458" w:rsidP="00455458"/>
    <w:p w:rsidR="00455458" w:rsidRDefault="00455458" w:rsidP="00455458">
      <w:r>
        <w:t xml:space="preserve">Some other early impressions were confirmed by the Likert data from the survey which appears below in </w:t>
      </w:r>
      <w:r w:rsidR="00EE5DB0">
        <w:t>Table 2.2.</w:t>
      </w:r>
      <w:r w:rsidR="00B64E3E">
        <w:fldChar w:fldCharType="begin"/>
      </w:r>
      <w:r>
        <w:instrText xml:space="preserve"> REF _Ref40013718 \h </w:instrText>
      </w:r>
      <w:r w:rsidR="00B64E3E">
        <w:fldChar w:fldCharType="separate"/>
      </w:r>
      <w:proofErr w:type="gramStart"/>
      <w:r w:rsidR="00C5348C">
        <w:t>Table 2.2</w:t>
      </w:r>
      <w:r w:rsidR="00C5348C" w:rsidRPr="00BD15CD">
        <w:t>.</w:t>
      </w:r>
      <w:proofErr w:type="gramEnd"/>
      <w:r w:rsidR="00C5348C" w:rsidRPr="00BD15CD">
        <w:t xml:space="preserve"> </w:t>
      </w:r>
      <w:r w:rsidR="00B64E3E">
        <w:fldChar w:fldCharType="end"/>
      </w:r>
    </w:p>
    <w:p w:rsidR="00EE5DB0" w:rsidRDefault="00EE5DB0" w:rsidP="00455458"/>
    <w:p w:rsidR="00455458" w:rsidRPr="00BD15CD" w:rsidRDefault="00EE5DB0" w:rsidP="00455458">
      <w:pPr>
        <w:pStyle w:val="Caption"/>
        <w:keepNext/>
        <w:jc w:val="center"/>
        <w:rPr>
          <w:color w:val="auto"/>
        </w:rPr>
      </w:pPr>
      <w:bookmarkStart w:id="4" w:name="_Ref40013718"/>
      <w:proofErr w:type="gramStart"/>
      <w:r>
        <w:rPr>
          <w:color w:val="auto"/>
        </w:rPr>
        <w:t>Table 2.2</w:t>
      </w:r>
      <w:r w:rsidR="00455458" w:rsidRPr="00BD15CD">
        <w:rPr>
          <w:color w:val="auto"/>
        </w:rPr>
        <w:t>.</w:t>
      </w:r>
      <w:proofErr w:type="gramEnd"/>
      <w:r w:rsidR="00455458" w:rsidRPr="00BD15CD">
        <w:rPr>
          <w:color w:val="auto"/>
        </w:rPr>
        <w:t xml:space="preserve"> </w:t>
      </w:r>
      <w:bookmarkEnd w:id="4"/>
      <w:r w:rsidR="00455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B85C4D">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B85C4D">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B85C4D">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B85C4D">
        <w:t>[</w:t>
      </w:r>
      <w:r w:rsidR="00F21327">
        <w:t>29</w:t>
      </w:r>
      <w:r w:rsidR="00B85C4D">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B85C4D">
        <w:t>[</w:t>
      </w:r>
      <w:r w:rsidR="00F21327">
        <w:t>30</w:t>
      </w:r>
      <w:r w:rsidR="00B85C4D">
        <w:t>]</w:t>
      </w:r>
      <w:r>
        <w:t xml:space="preserve">. All three methods have their strengths, weaknesses and hazards. </w:t>
      </w:r>
    </w:p>
    <w:p w:rsidR="00B85C4D" w:rsidRPr="00B85C4D" w:rsidRDefault="00B85C4D" w:rsidP="00B85C4D"/>
    <w:p w:rsidR="00455458" w:rsidRDefault="00455458" w:rsidP="00455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B85C4D">
        <w:t>[31]</w:t>
      </w:r>
      <w:r>
        <w:t>. The Socratic Method naturally and profoundly establishes critical thinking and metacognitive skills to provide the student a defense against the incessant grilling by the Socratic mentor</w:t>
      </w:r>
      <w:r w:rsidRPr="003D41A9">
        <w:t xml:space="preserve"> </w:t>
      </w:r>
      <w:r w:rsidR="00B85C4D">
        <w:t>[</w:t>
      </w:r>
      <w:r w:rsidR="00F21327">
        <w:t>32</w:t>
      </w:r>
      <w:r w:rsidR="00B85C4D">
        <w:t>]</w:t>
      </w:r>
      <w:r>
        <w:t xml:space="preserve">. The adherents of the Constructivist approach would endeavor </w:t>
      </w:r>
      <w:r>
        <w:lastRenderedPageBreak/>
        <w:t xml:space="preserve">to attain the same result, suggesting that getting to the same place by putting the student into a situation more like that they would face </w:t>
      </w:r>
      <w:r w:rsidR="00B85C4D">
        <w:t>outside of the walls of academe</w:t>
      </w:r>
      <w:r>
        <w:t xml:space="preserve">. This result may be even more likely to find applicability in the high stress combat environment. </w:t>
      </w:r>
    </w:p>
    <w:p w:rsidR="00455458" w:rsidRDefault="00455458" w:rsidP="00455458"/>
    <w:p w:rsidR="00455458" w:rsidRDefault="00455458" w:rsidP="00455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B85C4D">
        <w:t>[</w:t>
      </w:r>
      <w:r w:rsidR="00F21327">
        <w:t>33</w:t>
      </w:r>
      <w:r w:rsidR="00B85C4D">
        <w:t>]</w:t>
      </w:r>
      <w:r>
        <w:t xml:space="preserve">.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 xml:space="preserve">Another approach that would also be enhanced by the implementation of virtual human teachers, tutors, and testers is the reawakened interest in the multidisciplinary and multipedagogy approach known at the Trivium and Quadrivium </w:t>
      </w:r>
      <w:r w:rsidR="00B85C4D">
        <w:t>[34]</w:t>
      </w:r>
      <w:r>
        <w:t xml:space="preserve">. Based on the curricula of classical education, the Trivium consists of the liberal arts study of grammar, logic (or dialectic) and rhetoric followed by the more advanced study in the Quadrivium of arithmetic, geometry, astronomy and music </w:t>
      </w:r>
      <w:r w:rsidR="00B85C4D">
        <w:t>[</w:t>
      </w:r>
      <w:r w:rsidR="00F21327">
        <w:t>35</w:t>
      </w:r>
      <w:r w:rsidR="00B85C4D">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B85C4D">
        <w:t>[3</w:t>
      </w:r>
      <w:r w:rsidR="00F21327">
        <w:t>6</w:t>
      </w:r>
      <w:r w:rsidR="00B85C4D">
        <w:t>]</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B85C4D">
        <w:t>[</w:t>
      </w:r>
      <w:r w:rsidR="00F21327">
        <w:t>37</w:t>
      </w:r>
      <w:r w:rsidR="00B85C4D">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lastRenderedPageBreak/>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B85C4D">
        <w:t>[</w:t>
      </w:r>
      <w:r w:rsidR="00F21327">
        <w:t>38</w:t>
      </w:r>
      <w:r w:rsidR="00B85C4D">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r w:rsidR="00B85C4D">
        <w:t>[</w:t>
      </w:r>
      <w:r w:rsidR="00F21327">
        <w:t>39</w:t>
      </w:r>
      <w:r w:rsidR="00B85C4D">
        <w:t>]</w:t>
      </w:r>
      <w:r w:rsidRPr="00455458">
        <w:t xml:space="preserve">. </w:t>
      </w:r>
      <w:proofErr w:type="gramStart"/>
      <w:r w:rsidRPr="00455458">
        <w:t>The</w:t>
      </w:r>
      <w:proofErr w:type="gramEnd"/>
      <w:r w:rsidRPr="00455458">
        <w:t xml:space="preserv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 new software approach to data analysis is Deep learning, which uses layers of computational units to learn data representations at multiple levels of abstraction. This may emerge as the leading methodology for developing NLP applications </w:t>
      </w:r>
      <w:r w:rsidR="00B85C4D">
        <w:t>[</w:t>
      </w:r>
      <w:r w:rsidR="00F21327">
        <w:t>40</w:t>
      </w:r>
      <w:r w:rsidR="00B85C4D">
        <w:t xml:space="preserve">] </w:t>
      </w:r>
      <w:proofErr w:type="gramStart"/>
      <w:r w:rsidR="00B85C4D">
        <w:t>&amp;[</w:t>
      </w:r>
      <w:proofErr w:type="gramEnd"/>
      <w:r w:rsidR="00F21327">
        <w:t>41</w:t>
      </w:r>
      <w:r w:rsidR="00B85C4D">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B85C4D">
        <w:t>[</w:t>
      </w:r>
      <w:r w:rsidR="00F21327">
        <w:t>42</w:t>
      </w:r>
      <w:r w:rsidR="00B85C4D">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r w:rsidR="00B85C4D" w:rsidRPr="00455458">
        <w:t xml:space="preserve">information </w:t>
      </w:r>
      <w:r w:rsidR="00B85C4D">
        <w:t>[</w:t>
      </w:r>
      <w:r w:rsidR="00F21327">
        <w:t>43</w:t>
      </w:r>
      <w:r w:rsidR="00B85C4D">
        <w:t>]</w:t>
      </w:r>
      <w:r w:rsidRPr="00455458">
        <w:t xml:space="preserve">.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B85C4D">
        <w:t>[</w:t>
      </w:r>
      <w:r w:rsidR="00F21327">
        <w:t>44</w:t>
      </w:r>
      <w:r w:rsidR="00B85C4D">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xml:space="preserve">) to create a useable quantum effect </w:t>
      </w:r>
      <w:r w:rsidR="00B85C4D">
        <w:t>[</w:t>
      </w:r>
      <w:r w:rsidR="00F21327">
        <w:t>45</w:t>
      </w:r>
      <w:r w:rsidR="00B85C4D">
        <w:t>]</w:t>
      </w:r>
      <w:r w:rsidRPr="00455458">
        <w:t>.</w:t>
      </w:r>
    </w:p>
    <w:p w:rsidR="00455458" w:rsidRPr="00455458" w:rsidRDefault="00455458" w:rsidP="00455458">
      <w:pPr>
        <w:pStyle w:val="SIW-Norm"/>
        <w:tabs>
          <w:tab w:val="clear" w:pos="363"/>
        </w:tabs>
        <w:ind w:left="0"/>
      </w:pPr>
    </w:p>
    <w:p w:rsidR="00455458" w:rsidRPr="00455458" w:rsidRDefault="00B64E3E" w:rsidP="00455458">
      <w:pPr>
        <w:pStyle w:val="SIW-Norm"/>
        <w:tabs>
          <w:tab w:val="clear" w:pos="363"/>
        </w:tabs>
        <w:ind w:left="0"/>
      </w:pPr>
      <w:r>
        <w:lastRenderedPageBreak/>
        <w:pict>
          <v:shape id="Text Box 4" o:spid="_x0000_s1031" type="#_x0000_t202" style="position:absolute;left:0;text-align:left;margin-left:361.8pt;margin-top:11.75pt;width:119.75pt;height:18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B85C4D" w:rsidRDefault="00B85C4D" w:rsidP="00455458">
                  <w:pPr>
                    <w:jc w:val="center"/>
                  </w:pPr>
                  <w:r>
                    <w:rPr>
                      <w:noProof/>
                    </w:rPr>
                    <w:drawing>
                      <wp:inline distT="0" distB="0" distL="0" distR="0">
                        <wp:extent cx="1523649" cy="2120511"/>
                        <wp:effectExtent l="19050" t="0" r="351"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1548447" cy="2155023"/>
                                </a:xfrm>
                                <a:prstGeom prst="rect">
                                  <a:avLst/>
                                </a:prstGeom>
                              </pic:spPr>
                            </pic:pic>
                          </a:graphicData>
                        </a:graphic>
                      </wp:inline>
                    </w:drawing>
                  </w:r>
                </w:p>
                <w:p w:rsidR="00B85C4D" w:rsidRPr="00BC68EA" w:rsidRDefault="00B85C4D" w:rsidP="00455458">
                  <w:pPr>
                    <w:pStyle w:val="Caption"/>
                    <w:jc w:val="center"/>
                    <w:rPr>
                      <w:color w:val="auto"/>
                    </w:rPr>
                  </w:pPr>
                  <w:bookmarkStart w:id="5" w:name="_Ref40077976"/>
                  <w:proofErr w:type="gramStart"/>
                  <w:r w:rsidRPr="00035B86">
                    <w:rPr>
                      <w:color w:val="auto"/>
                    </w:rPr>
                    <w:t>Figure</w:t>
                  </w:r>
                  <w:bookmarkEnd w:id="5"/>
                  <w:r>
                    <w:rPr>
                      <w:color w:val="auto"/>
                    </w:rPr>
                    <w:t xml:space="preserve"> 3.1</w:t>
                  </w:r>
                  <w:r w:rsidRPr="00035B86">
                    <w:rPr>
                      <w:color w:val="auto"/>
                    </w:rPr>
                    <w:t>.</w:t>
                  </w:r>
                  <w:proofErr w:type="gramEnd"/>
                  <w:r>
                    <w:t xml:space="preserve"> </w:t>
                  </w:r>
                  <w:r w:rsidR="00BD2E30">
                    <w:rPr>
                      <w:color w:val="auto"/>
                    </w:rPr>
                    <w:t>Case</w:t>
                  </w:r>
                  <w:r>
                    <w:rPr>
                      <w:color w:val="auto"/>
                    </w:rPr>
                    <w:t xml:space="preserve"> size image</w:t>
                  </w:r>
                </w:p>
              </w:txbxContent>
            </v:textbox>
            <w10:wrap type="square"/>
          </v:shape>
        </w:pict>
      </w:r>
      <w:r w:rsidR="00455458" w:rsidRPr="00455458">
        <w:t xml:space="preserve">At the quantum computing center in Marina </w:t>
      </w:r>
      <w:proofErr w:type="gramStart"/>
      <w:r w:rsidR="00455458" w:rsidRPr="00455458">
        <w:t>del</w:t>
      </w:r>
      <w:proofErr w:type="gramEnd"/>
      <w:r w:rsidR="00455458"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learning </w:t>
      </w:r>
      <w:r w:rsidR="00B85C4D">
        <w:t>[</w:t>
      </w:r>
      <w:r w:rsidR="00F21327">
        <w:t>46</w:t>
      </w:r>
      <w:r w:rsidR="00B85C4D">
        <w:t>]</w:t>
      </w:r>
      <w:r w:rsidR="00455458" w:rsidRPr="00455458">
        <w:t xml:space="preserve">. This advance should enable more realistic and “human” virtual computer agents, especially when the number of qubits and interconnection pathways increases. These advances are significantly interesting and have attracted inquiries </w:t>
      </w:r>
      <w:r w:rsidR="00B85C4D">
        <w:t>by</w:t>
      </w:r>
      <w:r w:rsidR="00455458" w:rsidRPr="00455458">
        <w:t xml:space="preserve"> </w:t>
      </w:r>
      <w:r w:rsidR="00B85C4D" w:rsidRPr="00455458">
        <w:t xml:space="preserve">government </w:t>
      </w:r>
      <w:r w:rsidR="00455458" w:rsidRPr="00455458">
        <w:t xml:space="preserve">agencies, </w:t>
      </w:r>
      <w:r w:rsidR="00B85C4D">
        <w:t>often</w:t>
      </w:r>
      <w:r w:rsidR="00455458" w:rsidRPr="00455458">
        <w:t xml:space="preserve"> about size, which is </w:t>
      </w:r>
      <w:r w:rsidR="00B85C4D">
        <w:t>shown</w:t>
      </w:r>
      <w:r w:rsidR="00455458" w:rsidRPr="00455458">
        <w:t xml:space="preserve"> in </w:t>
      </w:r>
      <w:fldSimple w:instr=" REF _Ref40077976 \h  \* MERGEFORMAT ">
        <w:r w:rsidR="00C5348C" w:rsidRPr="00035B86">
          <w:t>Figure</w:t>
        </w:r>
      </w:fldSimple>
      <w:r w:rsidR="00EC7321">
        <w:t xml:space="preserve"> 3.1</w:t>
      </w:r>
      <w:r w:rsidR="00003769">
        <w:t xml:space="preserve"> to the right</w:t>
      </w:r>
      <w:r w:rsidR="00455458" w:rsidRPr="00455458">
        <w:t xml:space="preserve">. </w:t>
      </w:r>
    </w:p>
    <w:p w:rsidR="00455458" w:rsidRPr="00455458" w:rsidRDefault="00455458" w:rsidP="00455458">
      <w:pPr>
        <w:pStyle w:val="SIW-Norm"/>
        <w:tabs>
          <w:tab w:val="clear" w:pos="363"/>
        </w:tabs>
        <w:ind w:left="0"/>
      </w:pPr>
      <w:r w:rsidRPr="00455458">
        <w:t xml:space="preserve"> </w:t>
      </w:r>
    </w:p>
    <w:p w:rsidR="00455458" w:rsidRPr="00455458" w:rsidRDefault="00455458" w:rsidP="00455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B85C4D">
        <w:t>[47]</w:t>
      </w:r>
      <w:r w:rsidRPr="00455458">
        <w:t xml:space="preserve">. GANs can generate photo realistic faces </w:t>
      </w:r>
      <w:r w:rsidR="00B85C4D">
        <w:t>[</w:t>
      </w:r>
      <w:r w:rsidR="00F21327">
        <w:t>48</w:t>
      </w:r>
      <w:r w:rsidR="00B85C4D">
        <w:t>]</w:t>
      </w:r>
      <w:r w:rsidRPr="00455458">
        <w:t xml:space="preserve">, as well as novel paintings </w:t>
      </w:r>
      <w:r w:rsidR="00B85C4D">
        <w:t>[</w:t>
      </w:r>
      <w:r w:rsidR="00F21327">
        <w:t>49</w:t>
      </w:r>
      <w:r w:rsidR="00B85C4D">
        <w:t>]</w:t>
      </w:r>
      <w:r w:rsidRPr="00455458">
        <w:t xml:space="preserve">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 xml:space="preserve">Experience has shown that, not only are there a range of military situations, technologies </w:t>
      </w:r>
      <w:r w:rsidR="00B85C4D">
        <w:t>[</w:t>
      </w:r>
      <w:r w:rsidR="00F21327">
        <w:t>50</w:t>
      </w:r>
      <w:r w:rsidR="00B85C4D">
        <w:t>]</w:t>
      </w:r>
      <w:r>
        <w:t xml:space="preserve">, and organizational hierarchies, but these are becoming more dynamic, more complex and more transitory </w:t>
      </w:r>
      <w:r w:rsidR="00B85C4D">
        <w:t>[</w:t>
      </w:r>
      <w:r w:rsidR="00F21327">
        <w:t>51</w:t>
      </w:r>
      <w:r w:rsidR="00B85C4D">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B85C4D">
        <w:t>[</w:t>
      </w:r>
      <w:r w:rsidR="00F21327">
        <w:t>52</w:t>
      </w:r>
      <w:r w:rsidR="00B85C4D">
        <w:t>]</w:t>
      </w:r>
      <w:r>
        <w:t xml:space="preserve">.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w:t>
      </w:r>
      <w:r w:rsidR="00B85C4D">
        <w:t>esearch organizations. T</w:t>
      </w:r>
      <w:r>
        <w:t xml:space="preserve">he issues discussed in this paper would be immediately extensible into civilian first responder contexts, but that may only be the beginning, </w:t>
      </w:r>
      <w:r w:rsidR="00B85C4D">
        <w:t>providing</w:t>
      </w:r>
      <w:r>
        <w:t xml:space="preserve"> a more human-like interface, critical in high stress situations, may have similar benefits in other important functions. One of these functions could be counseling, such as demonstrated in the SimCoach project </w:t>
      </w:r>
      <w:r w:rsidR="00B85C4D">
        <w:t>[</w:t>
      </w:r>
      <w:r w:rsidR="00F21327">
        <w:t>53</w:t>
      </w:r>
      <w:r w:rsidR="00B85C4D">
        <w:t>]</w:t>
      </w:r>
      <w:r>
        <w:t xml:space="preserve">, another may be assessment </w:t>
      </w:r>
      <w:r w:rsidR="00B85C4D">
        <w:t>[</w:t>
      </w:r>
      <w:r w:rsidR="00F21327">
        <w:t>54</w:t>
      </w:r>
      <w:r w:rsidR="00B85C4D">
        <w:t>]</w:t>
      </w:r>
      <w:r>
        <w:t xml:space="preserve"> and yet another may be instructional environments, </w:t>
      </w:r>
      <w:r w:rsidR="00B85C4D">
        <w:t>[</w:t>
      </w:r>
      <w:r w:rsidR="00F21327">
        <w:t>55</w:t>
      </w:r>
      <w:r w:rsidR="00B85C4D">
        <w:t>]</w:t>
      </w:r>
      <w:r>
        <w:t>.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B85C4D">
        <w:t>[</w:t>
      </w:r>
      <w:r w:rsidR="00F21327">
        <w:t>56</w:t>
      </w:r>
      <w:r w:rsidR="00B85C4D">
        <w:t>]</w:t>
      </w:r>
      <w:r>
        <w:t>.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B85C4D">
        <w:t>[</w:t>
      </w:r>
      <w:r w:rsidR="00F21327">
        <w:t>57</w:t>
      </w:r>
      <w:r w:rsidR="00B85C4D">
        <w:t>]</w:t>
      </w:r>
      <w:r>
        <w:t>.</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 xml:space="preserve">The SimCoach saw really gratifying advances in an automated computer agent. The SimCoach kept veterans on the phone longer for therapeutic sessions than did live counselors. PTSD patients talked longer and about more sensitive </w:t>
      </w:r>
      <w:r>
        <w:lastRenderedPageBreak/>
        <w:t>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research team has found</w:t>
      </w:r>
      <w:r w:rsidR="00EC7321">
        <w:t xml:space="preserve"> Table 4.1</w:t>
      </w:r>
      <w:r>
        <w:t xml:space="preserve"> useful in analyzing the best way to proceed. It rates the three pedagogical approaches versus the constraints outlined above. The Trivium/Quadrivium approach merges all three pedagogies.</w:t>
      </w:r>
      <w:r w:rsidR="00003769">
        <w:t xml:space="preserve">  Such and approach might also admit of a consideration for standardization.</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t xml:space="preserve">Table </w:t>
      </w:r>
      <w:bookmarkEnd w:id="6"/>
      <w:r w:rsidR="00B85C4D">
        <w:rPr>
          <w:color w:val="auto"/>
        </w:rPr>
        <w:t>4.1</w:t>
      </w:r>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B85C4D">
        <w:trPr>
          <w:cantSplit/>
        </w:trPr>
        <w:tc>
          <w:tcPr>
            <w:tcW w:w="1458" w:type="dxa"/>
            <w:tcBorders>
              <w:top w:val="double" w:sz="4" w:space="0" w:color="auto"/>
              <w:bottom w:val="double" w:sz="4" w:space="0" w:color="auto"/>
              <w:right w:val="double" w:sz="4" w:space="0" w:color="auto"/>
            </w:tcBorders>
          </w:tcPr>
          <w:p w:rsidR="00455458" w:rsidRPr="00B467A7" w:rsidRDefault="00455458" w:rsidP="00B85C4D">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B85C4D">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B85C4D">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B85C4D">
            <w:pPr>
              <w:jc w:val="center"/>
              <w:rPr>
                <w:b/>
              </w:rPr>
            </w:pPr>
            <w:r>
              <w:rPr>
                <w:b/>
              </w:rPr>
              <w:t>T</w:t>
            </w:r>
            <w:r w:rsidRPr="00F04DEE">
              <w:rPr>
                <w:b/>
              </w:rPr>
              <w:t xml:space="preserve">eacher </w:t>
            </w:r>
            <w:r>
              <w:rPr>
                <w:b/>
              </w:rPr>
              <w:t>Charisma</w:t>
            </w:r>
          </w:p>
        </w:tc>
      </w:tr>
      <w:tr w:rsidR="00455458" w:rsidTr="00B85C4D">
        <w:trPr>
          <w:cantSplit/>
        </w:trPr>
        <w:tc>
          <w:tcPr>
            <w:tcW w:w="1458" w:type="dxa"/>
            <w:tcBorders>
              <w:top w:val="double" w:sz="4" w:space="0" w:color="auto"/>
              <w:bottom w:val="single" w:sz="4" w:space="0" w:color="auto"/>
              <w:right w:val="double" w:sz="4" w:space="0" w:color="auto"/>
            </w:tcBorders>
          </w:tcPr>
          <w:p w:rsidR="00455458" w:rsidRPr="00B467A7" w:rsidRDefault="00455458" w:rsidP="00B85C4D">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B85C4D">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B85C4D">
            <w:pPr>
              <w:rPr>
                <w:sz w:val="18"/>
              </w:rPr>
            </w:pPr>
            <w:r w:rsidRPr="002E0D92">
              <w:rPr>
                <w:sz w:val="18"/>
              </w:rPr>
              <w:t>Open class scheduling</w:t>
            </w:r>
          </w:p>
        </w:tc>
        <w:tc>
          <w:tcPr>
            <w:tcW w:w="2772" w:type="dxa"/>
            <w:tcBorders>
              <w:top w:val="double" w:sz="4" w:space="0" w:color="auto"/>
            </w:tcBorders>
          </w:tcPr>
          <w:p w:rsidR="00455458" w:rsidRPr="002E0D92" w:rsidRDefault="00455458" w:rsidP="00B85C4D">
            <w:pPr>
              <w:rPr>
                <w:sz w:val="18"/>
              </w:rPr>
            </w:pPr>
            <w:r>
              <w:rPr>
                <w:sz w:val="18"/>
              </w:rPr>
              <w:t>1 hero teacher, but scalable to all</w:t>
            </w:r>
          </w:p>
        </w:tc>
      </w:tr>
      <w:tr w:rsidR="00455458" w:rsidTr="00B85C4D">
        <w:trPr>
          <w:cantSplit/>
        </w:trPr>
        <w:tc>
          <w:tcPr>
            <w:tcW w:w="1458" w:type="dxa"/>
            <w:tcBorders>
              <w:top w:val="single" w:sz="4" w:space="0" w:color="auto"/>
              <w:bottom w:val="single" w:sz="4" w:space="0" w:color="auto"/>
              <w:right w:val="double" w:sz="4" w:space="0" w:color="auto"/>
            </w:tcBorders>
          </w:tcPr>
          <w:p w:rsidR="00455458" w:rsidRPr="00B467A7" w:rsidRDefault="00455458" w:rsidP="00B85C4D">
            <w:pPr>
              <w:jc w:val="center"/>
              <w:rPr>
                <w:b/>
              </w:rPr>
            </w:pPr>
            <w:r w:rsidRPr="00B467A7">
              <w:rPr>
                <w:b/>
              </w:rPr>
              <w:t>Socratic</w:t>
            </w:r>
          </w:p>
        </w:tc>
        <w:tc>
          <w:tcPr>
            <w:tcW w:w="3060" w:type="dxa"/>
            <w:tcBorders>
              <w:left w:val="double" w:sz="4" w:space="0" w:color="auto"/>
            </w:tcBorders>
          </w:tcPr>
          <w:p w:rsidR="00455458" w:rsidRPr="002E0D92" w:rsidRDefault="00455458" w:rsidP="00B85C4D">
            <w:pPr>
              <w:rPr>
                <w:sz w:val="18"/>
              </w:rPr>
            </w:pPr>
            <w:r>
              <w:rPr>
                <w:sz w:val="18"/>
              </w:rPr>
              <w:t>Focus questions on 1; others not idled</w:t>
            </w:r>
          </w:p>
        </w:tc>
        <w:tc>
          <w:tcPr>
            <w:tcW w:w="2160" w:type="dxa"/>
          </w:tcPr>
          <w:p w:rsidR="00455458" w:rsidRPr="002E0D92" w:rsidRDefault="00455458" w:rsidP="00B85C4D">
            <w:pPr>
              <w:rPr>
                <w:sz w:val="18"/>
              </w:rPr>
            </w:pPr>
            <w:r>
              <w:rPr>
                <w:sz w:val="18"/>
              </w:rPr>
              <w:t>Mentor available globally</w:t>
            </w:r>
          </w:p>
        </w:tc>
        <w:tc>
          <w:tcPr>
            <w:tcW w:w="2772" w:type="dxa"/>
          </w:tcPr>
          <w:p w:rsidR="00455458" w:rsidRPr="002E0D92" w:rsidRDefault="00455458" w:rsidP="00B85C4D">
            <w:pPr>
              <w:rPr>
                <w:sz w:val="18"/>
              </w:rPr>
            </w:pPr>
            <w:r>
              <w:rPr>
                <w:sz w:val="18"/>
              </w:rPr>
              <w:t xml:space="preserve">Private forum for challenge </w:t>
            </w:r>
          </w:p>
        </w:tc>
      </w:tr>
      <w:tr w:rsidR="00455458" w:rsidTr="00B85C4D">
        <w:trPr>
          <w:cantSplit/>
        </w:trPr>
        <w:tc>
          <w:tcPr>
            <w:tcW w:w="1458" w:type="dxa"/>
            <w:tcBorders>
              <w:top w:val="single" w:sz="4" w:space="0" w:color="auto"/>
              <w:bottom w:val="double" w:sz="4" w:space="0" w:color="auto"/>
              <w:right w:val="double" w:sz="4" w:space="0" w:color="auto"/>
            </w:tcBorders>
          </w:tcPr>
          <w:p w:rsidR="00455458" w:rsidRPr="00B467A7" w:rsidRDefault="00455458" w:rsidP="00B85C4D">
            <w:pPr>
              <w:jc w:val="center"/>
              <w:rPr>
                <w:b/>
              </w:rPr>
            </w:pPr>
            <w:r w:rsidRPr="00B467A7">
              <w:rPr>
                <w:b/>
              </w:rPr>
              <w:t>Constructivist</w:t>
            </w:r>
          </w:p>
        </w:tc>
        <w:tc>
          <w:tcPr>
            <w:tcW w:w="3060" w:type="dxa"/>
            <w:tcBorders>
              <w:left w:val="double" w:sz="4" w:space="0" w:color="auto"/>
            </w:tcBorders>
          </w:tcPr>
          <w:p w:rsidR="00455458" w:rsidRPr="002E0D92" w:rsidRDefault="00455458" w:rsidP="00B85C4D">
            <w:pPr>
              <w:rPr>
                <w:sz w:val="18"/>
              </w:rPr>
            </w:pPr>
            <w:r>
              <w:rPr>
                <w:sz w:val="18"/>
              </w:rPr>
              <w:t>Different environment for each student</w:t>
            </w:r>
          </w:p>
        </w:tc>
        <w:tc>
          <w:tcPr>
            <w:tcW w:w="2160" w:type="dxa"/>
          </w:tcPr>
          <w:p w:rsidR="00455458" w:rsidRPr="002E0D92" w:rsidRDefault="00455458" w:rsidP="00B85C4D">
            <w:pPr>
              <w:rPr>
                <w:sz w:val="18"/>
              </w:rPr>
            </w:pPr>
            <w:r>
              <w:rPr>
                <w:sz w:val="18"/>
              </w:rPr>
              <w:t>Pause button on situation</w:t>
            </w:r>
          </w:p>
        </w:tc>
        <w:tc>
          <w:tcPr>
            <w:tcW w:w="2772" w:type="dxa"/>
          </w:tcPr>
          <w:p w:rsidR="00455458" w:rsidRPr="002E0D92" w:rsidRDefault="00455458" w:rsidP="00B85C4D">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w:t>
      </w:r>
      <w:r>
        <w:lastRenderedPageBreak/>
        <w:t xml:space="preserve">assertion that many researchers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r w:rsidR="00B85C4D">
        <w:t xml:space="preserve">Standard commonality of language is a </w:t>
      </w:r>
      <w:r w:rsidR="00B85C4D" w:rsidRPr="00C1217B">
        <w:rPr>
          <w:i/>
        </w:rPr>
        <w:t>sine qua non</w:t>
      </w:r>
      <w:r w:rsidR="00C1217B">
        <w:t xml:space="preserve"> here</w:t>
      </w:r>
      <w:r w:rsidR="00B85C4D">
        <w:t>.</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w:t>
      </w:r>
      <w:r w:rsidR="00C1217B">
        <w:t>s, but only a group of new standards will enable progress.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w:t>
      </w:r>
      <w:r>
        <w:lastRenderedPageBreak/>
        <w:t>by maximizing their use of intelligence, in both of the senses of that word.</w:t>
      </w:r>
      <w:r w:rsidR="00C1217B">
        <w:t xml:space="preserve"> The authors hold that this will not be forthcoming or of optimal use unless standardization allows valid evaluation and use by all forces concerned.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w:t>
      </w:r>
    </w:p>
    <w:p w:rsidR="00B85C4D" w:rsidRDefault="00B85C4D" w:rsidP="00455458"/>
    <w:p w:rsidR="00B85C4D" w:rsidRDefault="00B85C4D" w:rsidP="00455458">
      <w:r>
        <w:t>The need for terminology standards, standards for metrics and standards for data formats and approaches are required and an aggressive effort is required to insure a commonality of systems and measurements.</w:t>
      </w:r>
      <w:r w:rsidR="00003769">
        <w:t xml:space="preserve"> In matters military, it is not just cost and efficiency that are of concern; lives, missions and national survival may be at risk.</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9360" w:type="dxa"/>
        <w:tblInd w:w="99" w:type="dxa"/>
        <w:tblLook w:val="04A0"/>
      </w:tblPr>
      <w:tblGrid>
        <w:gridCol w:w="9360"/>
      </w:tblGrid>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Keegan, J. (1993). </w:t>
            </w:r>
            <w:r w:rsidRPr="008F5417">
              <w:rPr>
                <w:rFonts w:cs="Times New Roman"/>
                <w:i/>
                <w:iCs/>
                <w:szCs w:val="20"/>
              </w:rPr>
              <w:t>A history of warfare</w:t>
            </w:r>
            <w:r w:rsidR="00B85C4D">
              <w:rPr>
                <w:rFonts w:cs="Times New Roman"/>
                <w:szCs w:val="20"/>
              </w:rPr>
              <w:t>. Vintage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Murray, J. M. (2016). Civil War Infantry Tactics: Training, Combat, and Small-Unit Effectiveness by Earl J. Hess. </w:t>
            </w:r>
            <w:r w:rsidRPr="008F5417">
              <w:rPr>
                <w:rFonts w:cs="Times New Roman"/>
                <w:i/>
                <w:iCs/>
                <w:szCs w:val="20"/>
              </w:rPr>
              <w:t>Journal of Southern History</w:t>
            </w:r>
            <w:r w:rsidRPr="008F5417">
              <w:rPr>
                <w:rFonts w:cs="Times New Roman"/>
                <w:szCs w:val="20"/>
              </w:rPr>
              <w:t>, 82(4), 937-939.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Randolph, H. L. (1905). </w:t>
            </w:r>
            <w:r w:rsidRPr="008F5417">
              <w:rPr>
                <w:rFonts w:cs="Times New Roman"/>
                <w:i/>
                <w:iCs/>
                <w:szCs w:val="20"/>
              </w:rPr>
              <w:t>Biographical Sketches of distinguished officers of the Army and DoD</w:t>
            </w:r>
            <w:r w:rsidRPr="008F5417">
              <w:rPr>
                <w:rFonts w:cs="Times New Roman"/>
                <w:szCs w:val="20"/>
              </w:rPr>
              <w:t xml:space="preserve">. Page 87. Retrieved on 02Dec19 from: https://books.google.com/books?id=4iIZx9QohXIC&amp;printsec </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8F5417">
              <w:rPr>
                <w:rFonts w:cs="Times New Roman"/>
                <w:i/>
                <w:iCs/>
                <w:szCs w:val="20"/>
              </w:rPr>
              <w:t>Artillery in Small Wars, the Evolution of British Artillery Doctrine, 1860-1914</w:t>
            </w:r>
            <w:r w:rsidRPr="008F5417">
              <w:rPr>
                <w:rFonts w:cs="Times New Roman"/>
                <w:szCs w:val="20"/>
              </w:rPr>
              <w:t>,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Mrazek, R. J. (2008). </w:t>
            </w:r>
            <w:r w:rsidRPr="0023367A">
              <w:rPr>
                <w:rFonts w:cs="Times New Roman"/>
                <w:i/>
                <w:szCs w:val="20"/>
              </w:rPr>
              <w:t xml:space="preserve">A Dawn </w:t>
            </w:r>
            <w:proofErr w:type="gramStart"/>
            <w:r w:rsidRPr="0023367A">
              <w:rPr>
                <w:rFonts w:cs="Times New Roman"/>
                <w:i/>
                <w:szCs w:val="20"/>
              </w:rPr>
              <w:t>Like</w:t>
            </w:r>
            <w:proofErr w:type="gramEnd"/>
            <w:r w:rsidRPr="0023367A">
              <w:rPr>
                <w:rFonts w:cs="Times New Roman"/>
                <w:i/>
                <w:szCs w:val="20"/>
              </w:rPr>
              <w:t xml:space="preserve"> Thunder: The True Story of Torpedo Squadron Eight</w:t>
            </w:r>
            <w:r w:rsidRPr="008F5417">
              <w:rPr>
                <w:rFonts w:cs="Times New Roman"/>
                <w:szCs w:val="20"/>
              </w:rPr>
              <w:t>. Little, Brown.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National Archives (2020), </w:t>
            </w:r>
            <w:r w:rsidRPr="008F5417">
              <w:rPr>
                <w:rFonts w:cs="Times New Roman"/>
                <w:i/>
                <w:iCs/>
                <w:szCs w:val="20"/>
              </w:rPr>
              <w:t>Military Records: Vietnam War U.S. Military Fatal Casualty Statistics.</w:t>
            </w:r>
            <w:r w:rsidRPr="008F5417">
              <w:rPr>
                <w:rFonts w:cs="Times New Roman"/>
                <w:szCs w:val="20"/>
              </w:rPr>
              <w:t xml:space="preserve"> Retrieved 24 April 20 from: https://www.archives.gov/research/military/vietnam-war/casualty-statistics#</w:t>
            </w:r>
            <w:proofErr w:type="gramStart"/>
            <w:r w:rsidRPr="008F5417">
              <w:rPr>
                <w:rFonts w:cs="Times New Roman"/>
                <w:szCs w:val="20"/>
              </w:rPr>
              <w:t>category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Hogan, D. W., Fisch, A. G., &amp; Wright, R. K. (2003). </w:t>
            </w:r>
            <w:r w:rsidRPr="008F5417">
              <w:rPr>
                <w:rFonts w:cs="Times New Roman"/>
                <w:i/>
                <w:iCs/>
                <w:szCs w:val="20"/>
              </w:rPr>
              <w:t>The Story of the Noncommissioned Officer Corps: The Backbone of the Army</w:t>
            </w:r>
            <w:r w:rsidRPr="008F5417">
              <w:rPr>
                <w:rFonts w:cs="Times New Roman"/>
                <w:szCs w:val="20"/>
              </w:rPr>
              <w:t>. Center of Military History, United States Army.</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Fu, Z. (1993). </w:t>
            </w:r>
            <w:r w:rsidRPr="008F5417">
              <w:rPr>
                <w:rFonts w:cs="Times New Roman"/>
                <w:i/>
                <w:iCs/>
                <w:szCs w:val="20"/>
              </w:rPr>
              <w:t>Autocratic tradition and Chinese politics</w:t>
            </w:r>
            <w:r w:rsidRPr="008F5417">
              <w:rPr>
                <w:rFonts w:cs="Times New Roman"/>
                <w:szCs w:val="20"/>
              </w:rPr>
              <w:t>. Cambridge University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Shaw, K., Davis, D.M., Rizvi, S.Z., &amp; Davis, M.C. (2019). Quantum Computing: Evaluating Potential Quantification of Projective Psychological Test Scoring. In the </w:t>
            </w:r>
            <w:r w:rsidRPr="008F5417">
              <w:rPr>
                <w:rFonts w:cs="Times New Roman"/>
                <w:i/>
                <w:iCs/>
                <w:szCs w:val="20"/>
              </w:rPr>
              <w:t>Proceedings of the ModSim World Conference</w:t>
            </w:r>
            <w:r w:rsidRPr="008F5417">
              <w:rPr>
                <w:rFonts w:cs="Times New Roman"/>
                <w:szCs w:val="20"/>
              </w:rPr>
              <w:t>. Norfolk, Virginia</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Dewey, J., (1910). </w:t>
            </w:r>
            <w:r w:rsidRPr="008F5417">
              <w:rPr>
                <w:rFonts w:cs="Times New Roman"/>
                <w:i/>
                <w:iCs/>
                <w:szCs w:val="20"/>
              </w:rPr>
              <w:t>How we think.</w:t>
            </w:r>
            <w:r w:rsidRPr="008F5417">
              <w:rPr>
                <w:rFonts w:cs="Times New Roman"/>
                <w:szCs w:val="20"/>
              </w:rPr>
              <w:t xml:space="preserve"> D.C. Heath and Company. Lexington, MA. p 95.</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Visser, Jan &amp; Visser, Muriel (2019). Seeking Understanding: The Lifelong Pursuit to Build the Scientific Mind. Leiden: BRILL.</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Withers, C. W. J. (2008). Placing the Enlightenment: thinking geographically about the age of reason. University of Chicago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8F5417" w:rsidP="00B85C4D">
            <w:pPr>
              <w:pStyle w:val="DanzSIW-Refs"/>
              <w:ind w:left="981" w:hanging="441"/>
              <w:rPr>
                <w:rFonts w:cs="Times New Roman"/>
                <w:szCs w:val="20"/>
              </w:rPr>
            </w:pPr>
            <w:r w:rsidRPr="008F5417">
              <w:rPr>
                <w:rFonts w:cs="Times New Roman"/>
                <w:szCs w:val="20"/>
              </w:rPr>
              <w:t xml:space="preserve">Keegan, J. (2011). </w:t>
            </w:r>
            <w:r w:rsidRPr="008F5417">
              <w:rPr>
                <w:rFonts w:cs="Times New Roman"/>
                <w:i/>
                <w:szCs w:val="20"/>
              </w:rPr>
              <w:t>War and our World</w:t>
            </w:r>
            <w:r w:rsidRPr="008F5417">
              <w:rPr>
                <w:rFonts w:cs="Times New Roman"/>
                <w:szCs w:val="20"/>
              </w:rPr>
              <w:t>. Vintage</w:t>
            </w:r>
            <w:r>
              <w:rPr>
                <w:rFonts w:cs="Times New Roman"/>
                <w:szCs w:val="20"/>
              </w:rPr>
              <w:t xml:space="preserv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Flavell, J. H. (1979). Metacognition and cognitive monitoring: A new area of cognitive-developmental inquiry. </w:t>
            </w:r>
            <w:r w:rsidRPr="008F5417">
              <w:rPr>
                <w:rFonts w:cs="Times New Roman"/>
                <w:i/>
                <w:iCs/>
                <w:szCs w:val="20"/>
              </w:rPr>
              <w:t>American Psychologist</w:t>
            </w:r>
            <w:r w:rsidRPr="008F5417">
              <w:rPr>
                <w:rFonts w:cs="Times New Roman"/>
                <w:szCs w:val="20"/>
              </w:rPr>
              <w:t>, v34 n10 p906-11.</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Shakespeare, W. (1599). </w:t>
            </w:r>
            <w:r w:rsidRPr="008F5417">
              <w:rPr>
                <w:rFonts w:cs="Times New Roman"/>
                <w:i/>
                <w:iCs/>
                <w:szCs w:val="20"/>
              </w:rPr>
              <w:t>The Chronicle History of Henry the Fifth</w:t>
            </w:r>
            <w:r w:rsidRPr="008F5417">
              <w:rPr>
                <w:rFonts w:cs="Times New Roman"/>
                <w:szCs w:val="20"/>
              </w:rPr>
              <w:t>. Act III, Scene II, Lines 1187 -1264, Retrieved on 10 July 2001 from http://shakespeare.mit.edu/henryv/</w:t>
            </w:r>
            <w:proofErr w:type="gramStart"/>
            <w:r w:rsidRPr="008F5417">
              <w:rPr>
                <w:rFonts w:cs="Times New Roman"/>
                <w:szCs w:val="20"/>
              </w:rPr>
              <w:t>full.html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Clausewitz, von, C., (1832, re-pub 2007) </w:t>
            </w:r>
            <w:r w:rsidRPr="008F5417">
              <w:rPr>
                <w:rFonts w:cs="Times New Roman"/>
                <w:i/>
                <w:iCs/>
                <w:szCs w:val="20"/>
              </w:rPr>
              <w:t>On War</w:t>
            </w:r>
            <w:r w:rsidRPr="008F5417">
              <w:rPr>
                <w:rFonts w:cs="Times New Roman"/>
                <w:szCs w:val="20"/>
              </w:rPr>
              <w:t>, Create Space, New York, New York.</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Mahan, A.T., (1890). </w:t>
            </w:r>
            <w:r w:rsidRPr="008F5417">
              <w:rPr>
                <w:rFonts w:cs="Times New Roman"/>
                <w:i/>
                <w:iCs/>
                <w:szCs w:val="20"/>
              </w:rPr>
              <w:t xml:space="preserve">The Influence of Sea Power </w:t>
            </w:r>
            <w:proofErr w:type="gramStart"/>
            <w:r w:rsidRPr="008F5417">
              <w:rPr>
                <w:rFonts w:cs="Times New Roman"/>
                <w:i/>
                <w:iCs/>
                <w:szCs w:val="20"/>
              </w:rPr>
              <w:t>Upon</w:t>
            </w:r>
            <w:proofErr w:type="gramEnd"/>
            <w:r w:rsidRPr="008F5417">
              <w:rPr>
                <w:rFonts w:cs="Times New Roman"/>
                <w:i/>
                <w:iCs/>
                <w:szCs w:val="20"/>
              </w:rPr>
              <w:t xml:space="preserve"> History, 1660-1783</w:t>
            </w:r>
            <w:r w:rsidRPr="008F5417">
              <w:rPr>
                <w:rFonts w:cs="Times New Roman"/>
                <w:szCs w:val="20"/>
              </w:rPr>
              <w:t>. Little Brown and Company, Boston, Massachusetts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7E04FE" w:rsidP="00B85C4D">
            <w:pPr>
              <w:pStyle w:val="DanzSIW-Refs"/>
              <w:ind w:left="981" w:hanging="441"/>
              <w:rPr>
                <w:rFonts w:cs="Times New Roman"/>
                <w:szCs w:val="20"/>
              </w:rPr>
            </w:pPr>
            <w:r w:rsidRPr="008F5417">
              <w:rPr>
                <w:rFonts w:cs="Times New Roman"/>
                <w:szCs w:val="20"/>
              </w:rPr>
              <w:t xml:space="preserve">Danchev, A., (1998). </w:t>
            </w:r>
            <w:r w:rsidRPr="008F5417">
              <w:rPr>
                <w:rFonts w:cs="Times New Roman"/>
                <w:i/>
                <w:iCs/>
                <w:szCs w:val="20"/>
              </w:rPr>
              <w:t>Alchemist of War: The Life of Basil Liddell Hart</w:t>
            </w:r>
            <w:r w:rsidRPr="008F5417">
              <w:rPr>
                <w:rFonts w:cs="Times New Roman"/>
                <w:szCs w:val="20"/>
              </w:rPr>
              <w:t>. Nicholson Harper Collins Publishers London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23367A">
              <w:rPr>
                <w:rFonts w:cs="Times New Roman"/>
                <w:i/>
                <w:szCs w:val="20"/>
              </w:rPr>
              <w:t>Artillery in Small Wars, the Evolution of British Artillery Doctrine,</w:t>
            </w:r>
            <w:r w:rsidRPr="008F5417">
              <w:rPr>
                <w:rFonts w:cs="Times New Roman"/>
                <w:szCs w:val="20"/>
              </w:rPr>
              <w:t xml:space="preserve"> 1860-1914,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Romainville, M. (1994). Awareness of cognitive strategies: The relationship between university students' metacognition and their performance. </w:t>
            </w:r>
            <w:r w:rsidRPr="008F5417">
              <w:rPr>
                <w:rFonts w:cs="Times New Roman"/>
                <w:i/>
                <w:iCs/>
                <w:szCs w:val="20"/>
              </w:rPr>
              <w:t>Studies in Higher Education</w:t>
            </w:r>
            <w:r w:rsidRPr="008F5417">
              <w:rPr>
                <w:rFonts w:cs="Times New Roman"/>
                <w:szCs w:val="20"/>
              </w:rPr>
              <w:t xml:space="preserve">, </w:t>
            </w:r>
            <w:r w:rsidRPr="008F5417">
              <w:rPr>
                <w:rFonts w:cs="Times New Roman"/>
                <w:i/>
                <w:iCs/>
                <w:szCs w:val="20"/>
              </w:rPr>
              <w:t>19</w:t>
            </w:r>
            <w:r w:rsidRPr="008F5417">
              <w:rPr>
                <w:rFonts w:cs="Times New Roman"/>
                <w:szCs w:val="20"/>
              </w:rPr>
              <w:t>(3), 359-366.</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Mathematics Educator, (2020). </w:t>
            </w:r>
            <w:r w:rsidRPr="008F5417">
              <w:rPr>
                <w:rFonts w:cs="Times New Roman"/>
                <w:i/>
                <w:iCs/>
                <w:szCs w:val="20"/>
              </w:rPr>
              <w:t>Is Metacognition ever bad</w:t>
            </w:r>
            <w:proofErr w:type="gramStart"/>
            <w:r w:rsidRPr="008F5417">
              <w:rPr>
                <w:rFonts w:cs="Times New Roman"/>
                <w:i/>
                <w:iCs/>
                <w:szCs w:val="20"/>
              </w:rPr>
              <w:t>?.</w:t>
            </w:r>
            <w:proofErr w:type="gramEnd"/>
            <w:r w:rsidRPr="008F5417">
              <w:rPr>
                <w:rFonts w:cs="Times New Roman"/>
                <w:szCs w:val="20"/>
              </w:rPr>
              <w:t xml:space="preserve"> Retrieved on 22 March 2020 from: https://matheducators.stackexchange.com/questions/10939/is-metacognition-ever-</w:t>
            </w:r>
            <w:proofErr w:type="gramStart"/>
            <w:r w:rsidRPr="008F5417">
              <w:rPr>
                <w:rFonts w:cs="Times New Roman"/>
                <w:szCs w:val="20"/>
              </w:rPr>
              <w:t>bad .</w:t>
            </w:r>
            <w:proofErr w:type="gramEnd"/>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7E04FE" w:rsidRDefault="007E04FE" w:rsidP="00B85C4D">
            <w:pPr>
              <w:pStyle w:val="DanzSIW-Refs"/>
              <w:ind w:left="981" w:hanging="441"/>
              <w:rPr>
                <w:rFonts w:cs="Times New Roman"/>
                <w:szCs w:val="20"/>
              </w:rPr>
            </w:pPr>
            <w:r w:rsidRPr="007E04FE">
              <w:rPr>
                <w:rFonts w:cs="Times New Roman"/>
                <w:szCs w:val="20"/>
              </w:rPr>
              <w:lastRenderedPageBreak/>
              <w:t xml:space="preserve">Chowdhury, G. G. (2003). Natural language processing. </w:t>
            </w:r>
            <w:r w:rsidRPr="007E04FE">
              <w:rPr>
                <w:rFonts w:cs="Times New Roman"/>
                <w:i/>
                <w:szCs w:val="20"/>
              </w:rPr>
              <w:t>Annual review of information science and technology</w:t>
            </w:r>
            <w:r w:rsidRPr="007E04FE">
              <w:rPr>
                <w:rFonts w:cs="Times New Roman"/>
                <w:szCs w:val="20"/>
              </w:rPr>
              <w:t>, 37(1), 51-89.</w:t>
            </w:r>
          </w:p>
          <w:p w:rsidR="009721B9" w:rsidRPr="008F5417" w:rsidRDefault="009721B9" w:rsidP="00B85C4D">
            <w:pPr>
              <w:pStyle w:val="DanzSIW-Refs"/>
              <w:ind w:left="981" w:hanging="441"/>
              <w:rPr>
                <w:rFonts w:cs="Times New Roman"/>
                <w:szCs w:val="20"/>
              </w:rPr>
            </w:pPr>
            <w:r w:rsidRPr="008F5417">
              <w:rPr>
                <w:rFonts w:cs="Times New Roman"/>
                <w:szCs w:val="20"/>
              </w:rPr>
              <w:t xml:space="preserve">Collobert, R., &amp; Weston, J. (2008, July). A unified architecture for natural language processing: Deep neural networks with multitask learning. In </w:t>
            </w:r>
            <w:r w:rsidRPr="008F5417">
              <w:rPr>
                <w:rFonts w:cs="Times New Roman"/>
                <w:i/>
                <w:iCs/>
                <w:szCs w:val="20"/>
              </w:rPr>
              <w:t>Proceedings of the 25</w:t>
            </w:r>
            <w:r w:rsidRPr="008F5417">
              <w:rPr>
                <w:rFonts w:cs="Times New Roman"/>
                <w:i/>
                <w:iCs/>
                <w:szCs w:val="20"/>
                <w:vertAlign w:val="superscript"/>
              </w:rPr>
              <w:t>th</w:t>
            </w:r>
            <w:r w:rsidRPr="008F5417">
              <w:rPr>
                <w:rFonts w:cs="Times New Roman"/>
                <w:i/>
                <w:iCs/>
                <w:szCs w:val="20"/>
              </w:rPr>
              <w:t xml:space="preserve"> International Conference on Machine Learning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Wiktionary, (2020). </w:t>
            </w:r>
            <w:r w:rsidRPr="008F5417">
              <w:rPr>
                <w:rFonts w:cs="Times New Roman"/>
                <w:i/>
                <w:iCs/>
                <w:szCs w:val="20"/>
              </w:rPr>
              <w:t>Critical thinking</w:t>
            </w:r>
            <w:r w:rsidRPr="008F5417">
              <w:rPr>
                <w:rFonts w:cs="Times New Roman"/>
                <w:szCs w:val="20"/>
              </w:rPr>
              <w:t>. Retrieved on 18 April 2020 from the internet at: https://en.wiktionary.org/wiki/critical_thinking.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Tetlock, P. E., &amp; Gardner, D. (2016). </w:t>
            </w:r>
            <w:r w:rsidRPr="008F5417">
              <w:rPr>
                <w:rFonts w:cs="Times New Roman"/>
                <w:i/>
                <w:iCs/>
                <w:szCs w:val="20"/>
              </w:rPr>
              <w:t>Superforecasting: The art and science of prediction</w:t>
            </w:r>
            <w:r w:rsidRPr="008F5417">
              <w:rPr>
                <w:rFonts w:cs="Times New Roman"/>
                <w:szCs w:val="20"/>
              </w:rPr>
              <w:t>. Random House.</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Noy, C. (2008). Sampling knowledge: The hermeneutics of snowball sampling in qualitative research. </w:t>
            </w:r>
            <w:r w:rsidRPr="008F5417">
              <w:rPr>
                <w:rFonts w:cs="Times New Roman"/>
                <w:i/>
                <w:iCs/>
                <w:szCs w:val="20"/>
              </w:rPr>
              <w:t>International Journal of social research methodology</w:t>
            </w:r>
            <w:r w:rsidRPr="008F5417">
              <w:rPr>
                <w:rFonts w:cs="Times New Roman"/>
                <w:szCs w:val="20"/>
              </w:rPr>
              <w:t xml:space="preserve">, </w:t>
            </w:r>
            <w:r w:rsidRPr="008F5417">
              <w:rPr>
                <w:rFonts w:cs="Times New Roman"/>
                <w:i/>
                <w:iCs/>
                <w:szCs w:val="20"/>
              </w:rPr>
              <w:t>11</w:t>
            </w:r>
            <w:r w:rsidRPr="008F5417">
              <w:rPr>
                <w:rFonts w:cs="Times New Roman"/>
                <w:szCs w:val="20"/>
              </w:rPr>
              <w:t>(4), 327-344.</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Paul, R., Elder, L., &amp; Bartell, T. (1997). </w:t>
            </w:r>
            <w:r w:rsidRPr="008F5417">
              <w:rPr>
                <w:rFonts w:cs="Times New Roman"/>
                <w:i/>
                <w:iCs/>
                <w:szCs w:val="20"/>
              </w:rPr>
              <w:t>A brief history of the idea of critical thinking.</w:t>
            </w:r>
            <w:r w:rsidRPr="008F5417">
              <w:rPr>
                <w:rFonts w:cs="Times New Roman"/>
                <w:szCs w:val="20"/>
              </w:rPr>
              <w:t xml:space="preserve"> Retrieved July, 2020 from https://wisconsinhistory.org/turningpoints/pdfs/workshophandbook.pdf</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Ng'ambi, D., &amp; Johnston, K. (2006). An ICT-mediated Constructivist Approach for increasing academic support and teaching critical thinking skills. </w:t>
            </w:r>
            <w:r w:rsidRPr="008F5417">
              <w:rPr>
                <w:rFonts w:cs="Times New Roman"/>
                <w:i/>
                <w:iCs/>
                <w:szCs w:val="20"/>
              </w:rPr>
              <w:t>Educational Technology &amp; Society</w:t>
            </w:r>
            <w:r w:rsidRPr="008F5417">
              <w:rPr>
                <w:rFonts w:cs="Times New Roman"/>
                <w:szCs w:val="20"/>
              </w:rPr>
              <w:t xml:space="preserve">, </w:t>
            </w:r>
            <w:r w:rsidRPr="008F5417">
              <w:rPr>
                <w:rFonts w:cs="Times New Roman"/>
                <w:i/>
                <w:iCs/>
                <w:szCs w:val="20"/>
              </w:rPr>
              <w:t>9</w:t>
            </w:r>
            <w:r w:rsidRPr="008F5417">
              <w:rPr>
                <w:rFonts w:cs="Times New Roman"/>
                <w:szCs w:val="20"/>
              </w:rPr>
              <w:t>(3), 244-253.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Heijltjes, A., Van Gog, T., &amp; Paas, F. (2014). Improving students' critical thinking: Empirical support for explicit instructions combined with practice. </w:t>
            </w:r>
            <w:r w:rsidRPr="008F5417">
              <w:rPr>
                <w:rFonts w:cs="Times New Roman"/>
                <w:i/>
                <w:iCs/>
                <w:szCs w:val="20"/>
              </w:rPr>
              <w:t>Applied Cognitive Psychology</w:t>
            </w:r>
            <w:r w:rsidRPr="008F5417">
              <w:rPr>
                <w:rFonts w:cs="Times New Roman"/>
                <w:szCs w:val="20"/>
              </w:rPr>
              <w:t>, 28(4), 518-530.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Matthews, M. R. (Ed.). (1998). </w:t>
            </w:r>
            <w:r w:rsidRPr="008F5417">
              <w:rPr>
                <w:rFonts w:cs="Times New Roman"/>
                <w:i/>
                <w:iCs/>
                <w:szCs w:val="20"/>
              </w:rPr>
              <w:t>Constructivism in science education: A philosophical examination</w:t>
            </w:r>
            <w:r w:rsidRPr="008F5417">
              <w:rPr>
                <w:rFonts w:cs="Times New Roman"/>
                <w:szCs w:val="20"/>
              </w:rPr>
              <w:t>. Springer Science &amp; Business Media.</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Gatto, J. T. (2002).</w:t>
            </w:r>
            <w:r w:rsidRPr="0023367A">
              <w:rPr>
                <w:rFonts w:cs="Times New Roman"/>
                <w:i/>
                <w:szCs w:val="20"/>
              </w:rPr>
              <w:t xml:space="preserve"> Dumbing us down: The hidden curriculum of compulsory schooling</w:t>
            </w:r>
            <w:r w:rsidRPr="008F5417">
              <w:rPr>
                <w:rFonts w:cs="Times New Roman"/>
                <w:szCs w:val="20"/>
              </w:rPr>
              <w:t>. New Society Publishers.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Hepner, M. R. (2015). The erosion of critical thinking development in post-secondary education: The need to return to liberal education. In </w:t>
            </w:r>
            <w:r w:rsidRPr="008F5417">
              <w:rPr>
                <w:rFonts w:cs="Times New Roman"/>
                <w:i/>
                <w:iCs/>
                <w:szCs w:val="20"/>
              </w:rPr>
              <w:t>Handbook of research on advancing critical thinking in higher education</w:t>
            </w:r>
            <w:r w:rsidRPr="008F5417">
              <w:rPr>
                <w:rFonts w:cs="Times New Roman"/>
                <w:szCs w:val="20"/>
              </w:rPr>
              <w:t xml:space="preserve"> (pp. 68-96). IGI Global.</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Littlejohn, R., &amp; Evans, C. T. (2006). </w:t>
            </w:r>
            <w:r w:rsidRPr="008F5417">
              <w:rPr>
                <w:rFonts w:cs="Times New Roman"/>
                <w:i/>
                <w:iCs/>
                <w:szCs w:val="20"/>
              </w:rPr>
              <w:t>Wisdom and eloquence: A Christian paradigm for classical learning</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Anderson, E., Macaulay, S. S., Beckman, J., Scott, B., &amp; Cyr, M. S. (2004). </w:t>
            </w:r>
            <w:r w:rsidRPr="008F5417">
              <w:rPr>
                <w:rFonts w:cs="Times New Roman"/>
                <w:i/>
                <w:iCs/>
                <w:szCs w:val="20"/>
              </w:rPr>
              <w:t>When children love to learn: A practical application of Charlotte Mason's philosophy for today</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Barroso, C., Ganley, C. M., Hart, S. A., Rogers, N., &amp; Clendinning, J. P. (2019). The relative importance of math‐and music‐related cognitive and affective factors in predicting undergraduate music theory achievement. </w:t>
            </w:r>
            <w:r w:rsidRPr="008F5417">
              <w:rPr>
                <w:rFonts w:cs="Times New Roman"/>
                <w:i/>
                <w:iCs/>
                <w:szCs w:val="20"/>
              </w:rPr>
              <w:t>Applied Cognitive Psychology</w:t>
            </w:r>
            <w:r w:rsidRPr="008F5417">
              <w:rPr>
                <w:rFonts w:cs="Times New Roman"/>
                <w:szCs w:val="20"/>
              </w:rPr>
              <w:t>, 33(5), 771-783.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Christensen, C. M. (2013). </w:t>
            </w:r>
            <w:r w:rsidRPr="0023367A">
              <w:rPr>
                <w:rFonts w:cs="Times New Roman"/>
                <w:i/>
                <w:szCs w:val="20"/>
              </w:rPr>
              <w:t>The innovator's dilemma: when new technologies cause great firms to fail</w:t>
            </w:r>
            <w:r w:rsidRPr="008F5417">
              <w:rPr>
                <w:rFonts w:cs="Times New Roman"/>
                <w:szCs w:val="20"/>
              </w:rPr>
              <w:t>. Harvard Business Review Press.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iCs/>
                <w:szCs w:val="20"/>
              </w:rPr>
              <w:t>Proceedings of the SISO Fall Simulation Innovation Workshop</w:t>
            </w:r>
            <w:r w:rsidRPr="008F5417">
              <w:rPr>
                <w:rFonts w:cs="Times New Roman"/>
                <w:szCs w:val="20"/>
              </w:rPr>
              <w:t>. Orlando,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lastRenderedPageBreak/>
              <w:t xml:space="preserve">Young, T., Hazarika, D., Poria, S., &amp; Cambria, E. (2018). Recent trends in deep learning based natural language processing. </w:t>
            </w:r>
            <w:r>
              <w:rPr>
                <w:rFonts w:cs="Times New Roman"/>
                <w:i/>
                <w:szCs w:val="20"/>
              </w:rPr>
              <w:t>IEEE</w:t>
            </w:r>
            <w:r w:rsidRPr="00244234">
              <w:rPr>
                <w:rFonts w:cs="Times New Roman"/>
                <w:i/>
                <w:szCs w:val="20"/>
              </w:rPr>
              <w:t xml:space="preserve"> Computational </w:t>
            </w:r>
            <w:proofErr w:type="spellStart"/>
            <w:r w:rsidRPr="00244234">
              <w:rPr>
                <w:rFonts w:cs="Times New Roman"/>
                <w:i/>
                <w:szCs w:val="20"/>
              </w:rPr>
              <w:t>intelligenCe</w:t>
            </w:r>
            <w:proofErr w:type="spellEnd"/>
            <w:r w:rsidRPr="00244234">
              <w:rPr>
                <w:rFonts w:cs="Times New Roman"/>
                <w:i/>
                <w:szCs w:val="20"/>
              </w:rPr>
              <w:t xml:space="preserve"> magazine</w:t>
            </w:r>
            <w:r w:rsidRPr="00244234">
              <w:rPr>
                <w:rFonts w:cs="Times New Roman"/>
                <w:szCs w:val="20"/>
              </w:rPr>
              <w:t>, 13(3), 55-75.</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4C6C26" w:rsidP="00B85C4D">
            <w:pPr>
              <w:pStyle w:val="DanzSIW-Refs"/>
              <w:ind w:left="981" w:hanging="441"/>
              <w:rPr>
                <w:rFonts w:cs="Times New Roman"/>
                <w:szCs w:val="20"/>
              </w:rPr>
            </w:pPr>
            <w:r w:rsidRPr="004C6C26">
              <w:rPr>
                <w:rFonts w:cs="Times New Roman"/>
                <w:szCs w:val="20"/>
              </w:rPr>
              <w:t>Pouyanfar, S., Sadiq, S., Yan, Y., Tian, H., Tao, Y., Reyes, M. P</w:t>
            </w:r>
            <w:proofErr w:type="gramStart"/>
            <w:r w:rsidRPr="004C6C26">
              <w:rPr>
                <w:rFonts w:cs="Times New Roman"/>
                <w:szCs w:val="20"/>
              </w:rPr>
              <w:t>., ...</w:t>
            </w:r>
            <w:proofErr w:type="gramEnd"/>
            <w:r w:rsidRPr="004C6C26">
              <w:rPr>
                <w:rFonts w:cs="Times New Roman"/>
                <w:szCs w:val="20"/>
              </w:rPr>
              <w:t xml:space="preserve"> &amp; Iyengar, S. S. (2018). A survey on deep learning: Algorithms, techniques, and applications. </w:t>
            </w:r>
            <w:r w:rsidRPr="00244234">
              <w:rPr>
                <w:rFonts w:cs="Times New Roman"/>
                <w:i/>
                <w:szCs w:val="20"/>
              </w:rPr>
              <w:t>ACM Computing Surveys</w:t>
            </w:r>
            <w:r w:rsidRPr="004C6C26">
              <w:rPr>
                <w:rFonts w:cs="Times New Roman"/>
                <w:szCs w:val="20"/>
              </w:rPr>
              <w:t xml:space="preserve"> (CSUR), 51(5), 1-36.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 xml:space="preserve">Mikolov, T., Sutskever, I., Chen, K., Corrado, G., &amp; Dean, J. (2013). Distributed representations of words and phrases and their compositionality. </w:t>
            </w:r>
            <w:proofErr w:type="gramStart"/>
            <w:r w:rsidRPr="00244234">
              <w:rPr>
                <w:rFonts w:cs="Times New Roman"/>
                <w:i/>
                <w:szCs w:val="20"/>
              </w:rPr>
              <w:t>arXiv</w:t>
            </w:r>
            <w:proofErr w:type="gramEnd"/>
            <w:r w:rsidRPr="00244234">
              <w:rPr>
                <w:rFonts w:cs="Times New Roman"/>
                <w:i/>
                <w:szCs w:val="20"/>
              </w:rPr>
              <w:t xml:space="preserve"> preprint arXiv</w:t>
            </w:r>
            <w:r w:rsidRPr="00244234">
              <w:rPr>
                <w:rFonts w:cs="Times New Roman"/>
                <w:szCs w:val="20"/>
              </w:rPr>
              <w:t>:1310.4546.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Hochreiter, S., &amp; Schmidhuber, J. (1997). Long short-term memory. </w:t>
            </w:r>
            <w:r w:rsidRPr="008F5417">
              <w:rPr>
                <w:rFonts w:cs="Times New Roman"/>
                <w:i/>
                <w:iCs/>
                <w:szCs w:val="20"/>
              </w:rPr>
              <w:t>Neural computation</w:t>
            </w:r>
            <w:r w:rsidRPr="008F5417">
              <w:rPr>
                <w:rFonts w:cs="Times New Roman"/>
                <w:szCs w:val="20"/>
              </w:rPr>
              <w:t>, 9(8), 1735-1780.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Feynman, R., (1982), "Simulating Physics with Computers", </w:t>
            </w:r>
            <w:r w:rsidRPr="008F5417">
              <w:rPr>
                <w:rFonts w:cs="Times New Roman"/>
                <w:i/>
                <w:iCs/>
                <w:szCs w:val="20"/>
              </w:rPr>
              <w:t>International Journal of Theoretical Physics</w:t>
            </w:r>
            <w:r w:rsidRPr="008F5417">
              <w:rPr>
                <w:rFonts w:cs="Times New Roman"/>
                <w:szCs w:val="20"/>
              </w:rPr>
              <w:t xml:space="preserve"> 21 (6–7): 467–488.</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Lucas, R. F., Wagenbreth, G., Tran, J.J., Pratt, D. R. &amp; Davis, D. M. (2013) "Practical Adiabatic Quantum Computing: Implications for the Simulation Community." in the </w:t>
            </w:r>
            <w:r w:rsidRPr="008F5417">
              <w:rPr>
                <w:rFonts w:cs="Times New Roman"/>
                <w:i/>
                <w:iCs/>
                <w:szCs w:val="20"/>
              </w:rPr>
              <w:t>Proceedings of the Interservice/Industry Simulation, Training and Education Conference,</w:t>
            </w:r>
            <w:r w:rsidRPr="008F5417">
              <w:rPr>
                <w:rFonts w:cs="Times New Roman"/>
                <w:szCs w:val="20"/>
              </w:rPr>
              <w:t xml:space="preserve"> Orlando, Florida, 2013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szCs w:val="20"/>
              </w:rPr>
              <w:t>Proceedings of the SISO Fall Simulation Innovation Workshop. Orlando,</w:t>
            </w:r>
            <w:r w:rsidRPr="008F5417">
              <w:rPr>
                <w:rFonts w:cs="Times New Roman"/>
                <w:szCs w:val="20"/>
              </w:rPr>
              <w:t xml:space="preserve">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Goodfellow, I. J., Pouget-Abadie, J., Mirza, M., Xu, B., Warde-Farley, D., Ozair, S</w:t>
            </w:r>
            <w:proofErr w:type="gramStart"/>
            <w:r w:rsidRPr="00244234">
              <w:rPr>
                <w:rFonts w:cs="Times New Roman"/>
                <w:szCs w:val="20"/>
              </w:rPr>
              <w:t>., ...</w:t>
            </w:r>
            <w:proofErr w:type="gramEnd"/>
            <w:r w:rsidRPr="00244234">
              <w:rPr>
                <w:rFonts w:cs="Times New Roman"/>
                <w:szCs w:val="20"/>
              </w:rPr>
              <w:t xml:space="preserve"> &amp; Bengio, Y. (2014). Generative adversarial networks. </w:t>
            </w:r>
            <w:proofErr w:type="gramStart"/>
            <w:r w:rsidRPr="00244234">
              <w:rPr>
                <w:rFonts w:cs="Times New Roman"/>
                <w:szCs w:val="20"/>
              </w:rPr>
              <w:t>arXiv</w:t>
            </w:r>
            <w:proofErr w:type="gramEnd"/>
            <w:r w:rsidRPr="00244234">
              <w:rPr>
                <w:rFonts w:cs="Times New Roman"/>
                <w:szCs w:val="20"/>
              </w:rPr>
              <w:t xml:space="preserve"> </w:t>
            </w:r>
            <w:r w:rsidRPr="00244234">
              <w:rPr>
                <w:rFonts w:cs="Times New Roman"/>
                <w:i/>
                <w:szCs w:val="20"/>
              </w:rPr>
              <w:t>preprint arXiv:1406.2661</w:t>
            </w:r>
            <w:r w:rsidRPr="00244234">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Karras, T., Laine, S., &amp; Aila, T. (2019). </w:t>
            </w:r>
            <w:proofErr w:type="gramStart"/>
            <w:r w:rsidRPr="008F5417">
              <w:rPr>
                <w:rFonts w:cs="Times New Roman"/>
                <w:szCs w:val="20"/>
              </w:rPr>
              <w:t>A style-based</w:t>
            </w:r>
            <w:proofErr w:type="gramEnd"/>
            <w:r w:rsidRPr="008F5417">
              <w:rPr>
                <w:rFonts w:cs="Times New Roman"/>
                <w:szCs w:val="20"/>
              </w:rPr>
              <w:t xml:space="preserve"> generator architecture for generative adversarial networks. In </w:t>
            </w:r>
            <w:r w:rsidRPr="008F5417">
              <w:rPr>
                <w:rFonts w:cs="Times New Roman"/>
                <w:i/>
                <w:iCs/>
                <w:szCs w:val="20"/>
              </w:rPr>
              <w:t>Proceedings of IEEE Conference on Computer Vision and Pattern Recognition</w:t>
            </w:r>
            <w:r w:rsidRPr="008F5417">
              <w:rPr>
                <w:rFonts w:cs="Times New Roman"/>
                <w:szCs w:val="20"/>
              </w:rPr>
              <w:t xml:space="preserve"> (pp. 4401-4410).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Elgammal, A., Liu, B., Elhoseiny, M., &amp; Mazzone, M. (2017). CAN: Creative adversarial networks, generating" art" by learning about styles and deviating from style norms. </w:t>
            </w:r>
            <w:proofErr w:type="gramStart"/>
            <w:r w:rsidRPr="008F5417">
              <w:rPr>
                <w:rFonts w:cs="Times New Roman"/>
                <w:i/>
                <w:iCs/>
                <w:szCs w:val="20"/>
              </w:rPr>
              <w:t>arXiv</w:t>
            </w:r>
            <w:proofErr w:type="gramEnd"/>
            <w:r w:rsidRPr="008F5417">
              <w:rPr>
                <w:rFonts w:cs="Times New Roman"/>
                <w:i/>
                <w:iCs/>
                <w:szCs w:val="20"/>
              </w:rPr>
              <w:t xml:space="preserve"> preprint arXiv:1706.07068</w:t>
            </w:r>
            <w:r w:rsidRPr="008F5417">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Burmaogla, S., &amp; Saritas, O. (2017). Changing characteristics of warfare and the future of Military R&amp;D. </w:t>
            </w:r>
            <w:r w:rsidRPr="008F5417">
              <w:rPr>
                <w:rFonts w:cs="Times New Roman"/>
                <w:i/>
                <w:iCs/>
                <w:szCs w:val="20"/>
              </w:rPr>
              <w:t>Technological Forecasting and Social Change</w:t>
            </w:r>
            <w:r w:rsidRPr="008F5417">
              <w:rPr>
                <w:rFonts w:cs="Times New Roman"/>
                <w:szCs w:val="20"/>
              </w:rPr>
              <w:t>, 116, 151-161.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Kott, A., &amp; Perconti, P. (2018). Long-term forecasts of military technologies for a 20–30 year horizon: An empirical assessment of accuracy. </w:t>
            </w:r>
            <w:r w:rsidRPr="008F5417">
              <w:rPr>
                <w:rFonts w:cs="Times New Roman"/>
                <w:i/>
                <w:iCs/>
                <w:szCs w:val="20"/>
              </w:rPr>
              <w:t>Technological Forecasting and Social Change</w:t>
            </w:r>
            <w:r w:rsidRPr="008F5417">
              <w:rPr>
                <w:rFonts w:cs="Times New Roman"/>
                <w:szCs w:val="20"/>
              </w:rPr>
              <w:t>, 137, 272-279.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Gong, L., Nass, C., Simard, C., &amp; Takhteyev, Y. (2001). When non-human is better than semihuman: Consistency in speech interfaces. </w:t>
            </w:r>
            <w:r w:rsidRPr="008F5417">
              <w:rPr>
                <w:rFonts w:cs="Times New Roman"/>
                <w:i/>
                <w:iCs/>
                <w:szCs w:val="20"/>
              </w:rPr>
              <w:t>Usability evaluation and interface design: Cognitive engineering, intelligent agents, and virtual reality</w:t>
            </w:r>
            <w:r w:rsidRPr="008F5417">
              <w:rPr>
                <w:rFonts w:cs="Times New Roman"/>
                <w:szCs w:val="20"/>
              </w:rPr>
              <w:t>, 1558-1562.</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Rizzo, A., Lange, B., Buckwalter, J. G., Forbell, E., Kim, J., Sagae, K</w:t>
            </w:r>
            <w:proofErr w:type="gramStart"/>
            <w:r w:rsidRPr="008F5417">
              <w:rPr>
                <w:rFonts w:cs="Times New Roman"/>
                <w:szCs w:val="20"/>
              </w:rPr>
              <w:t>., ...</w:t>
            </w:r>
            <w:proofErr w:type="gramEnd"/>
            <w:r w:rsidRPr="008F5417">
              <w:rPr>
                <w:rFonts w:cs="Times New Roman"/>
                <w:szCs w:val="20"/>
              </w:rPr>
              <w:t xml:space="preserve"> &amp; Parsons, T. (2011). SimCoach: an intelligent virtual human system for providing healthcare information and support</w:t>
            </w:r>
            <w:r w:rsidRPr="008F5417">
              <w:rPr>
                <w:rFonts w:cs="Times New Roman"/>
                <w:i/>
                <w:iCs/>
                <w:szCs w:val="20"/>
              </w:rPr>
              <w:t xml:space="preserve">. International Journal on Disability and Human Development, </w:t>
            </w:r>
            <w:r w:rsidRPr="008F5417">
              <w:rPr>
                <w:rFonts w:cs="Times New Roman"/>
                <w:szCs w:val="20"/>
              </w:rPr>
              <w:t>10(4), 277-281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Stewart, P (1964). Found in: </w:t>
            </w:r>
            <w:r w:rsidRPr="008F5417">
              <w:rPr>
                <w:rFonts w:cs="Times New Roman"/>
                <w:i/>
                <w:iCs/>
                <w:szCs w:val="20"/>
              </w:rPr>
              <w:t>378 U.S.</w:t>
            </w:r>
            <w:r w:rsidRPr="008F5417">
              <w:rPr>
                <w:rFonts w:cs="Times New Roman"/>
                <w:szCs w:val="20"/>
              </w:rPr>
              <w:t xml:space="preserve"> at 197 (Stewart, J., concurring), US Supreme Court Decisions.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Elstad, E.C., &amp; Davis, D.M. (2017). Implementing Innovative Constructivism: An Architected Approach to Enhancing STEM Education. In the </w:t>
            </w:r>
            <w:r w:rsidRPr="008F5417">
              <w:rPr>
                <w:rFonts w:cs="Times New Roman"/>
                <w:i/>
                <w:iCs/>
                <w:szCs w:val="20"/>
              </w:rPr>
              <w:t>Proceedings of the Interservice/Industry Simulation, Training and Education Conference</w:t>
            </w:r>
            <w:r w:rsidRPr="008F5417">
              <w:rPr>
                <w:rFonts w:cs="Times New Roman"/>
                <w:szCs w:val="20"/>
              </w:rPr>
              <w:t>. Orlando, Florida, 2017</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ICT, (2019). </w:t>
            </w:r>
            <w:r w:rsidRPr="008F5417">
              <w:rPr>
                <w:rFonts w:cs="Times New Roman"/>
                <w:i/>
                <w:iCs/>
                <w:szCs w:val="20"/>
              </w:rPr>
              <w:t>Virtual Humans</w:t>
            </w:r>
            <w:r w:rsidRPr="008F5417">
              <w:rPr>
                <w:rFonts w:cs="Times New Roman"/>
                <w:szCs w:val="20"/>
              </w:rPr>
              <w:t xml:space="preserve">, Retrieved 17 February 2019 from: </w:t>
            </w:r>
            <w:hyperlink r:id="rId18" w:history="1">
              <w:r w:rsidRPr="008F5417">
                <w:rPr>
                  <w:rStyle w:val="Hyperlink"/>
                  <w:rFonts w:cs="Times New Roman"/>
                  <w:szCs w:val="20"/>
                </w:rPr>
                <w:t>http://ict.usc.edu/groups/virtual-humans/</w:t>
              </w:r>
            </w:hyperlink>
          </w:p>
          <w:p w:rsidR="009721B9" w:rsidRPr="008F5417" w:rsidRDefault="009721B9" w:rsidP="00B85C4D">
            <w:pPr>
              <w:pStyle w:val="DanzSIW-Refs"/>
              <w:ind w:left="981" w:hanging="441"/>
              <w:rPr>
                <w:rFonts w:cs="Times New Roman"/>
                <w:szCs w:val="20"/>
              </w:rPr>
            </w:pPr>
            <w:r w:rsidRPr="008F5417">
              <w:rPr>
                <w:rFonts w:eastAsiaTheme="minorHAnsi" w:cs="Times New Roman"/>
                <w:color w:val="000000"/>
                <w:szCs w:val="20"/>
              </w:rPr>
              <w:t xml:space="preserve">Davis, D. M., Rosenberg, M., Davis, M.C., Burns, D.P., Jaksha, E., &amp; Guizani, I. (2020). Proactive Natural Language Processing: Addressing Terminology Disparity and Team Coalescence. In the </w:t>
            </w:r>
            <w:r w:rsidRPr="008F5417">
              <w:rPr>
                <w:rFonts w:eastAsiaTheme="minorHAnsi" w:cs="Times New Roman"/>
                <w:i/>
                <w:iCs/>
                <w:color w:val="000000"/>
                <w:szCs w:val="20"/>
              </w:rPr>
              <w:t>Proceedings of the SISO Simulation Innovation Workshop.</w:t>
            </w:r>
            <w:r w:rsidRPr="008F5417">
              <w:rPr>
                <w:rFonts w:eastAsiaTheme="minorHAnsi" w:cs="Times New Roman"/>
                <w:color w:val="000000"/>
                <w:szCs w:val="20"/>
              </w:rPr>
              <w:t xml:space="preserve"> Orlando, Florida: SISO</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6C372D" w:rsidRDefault="006C372D" w:rsidP="00455458"/>
    <w:p w:rsidR="006C372D" w:rsidRDefault="006C372D" w:rsidP="00455458"/>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B85C4D" w:rsidP="00455458">
      <w:r>
        <w:t xml:space="preserve"> </w:t>
      </w:r>
    </w:p>
    <w:p w:rsidR="00B85C4D" w:rsidRDefault="00B85C4D" w:rsidP="00455458"/>
    <w:sectPr w:rsidR="00B85C4D" w:rsidSect="00B85C4D">
      <w:headerReference w:type="default" r:id="rId19"/>
      <w:footerReference w:type="default" r:id="rId20"/>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473" w:rsidRDefault="00763473" w:rsidP="00167933">
      <w:pPr>
        <w:spacing w:line="240" w:lineRule="auto"/>
      </w:pPr>
      <w:r>
        <w:separator/>
      </w:r>
    </w:p>
  </w:endnote>
  <w:endnote w:type="continuationSeparator" w:id="0">
    <w:p w:rsidR="00763473" w:rsidRDefault="00763473"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Footer"/>
      <w:tabs>
        <w:tab w:val="clear" w:pos="8640"/>
        <w:tab w:val="right" w:pos="100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473" w:rsidRDefault="00763473" w:rsidP="00167933">
      <w:pPr>
        <w:spacing w:line="240" w:lineRule="auto"/>
      </w:pPr>
      <w:r>
        <w:separator/>
      </w:r>
    </w:p>
  </w:footnote>
  <w:footnote w:type="continuationSeparator" w:id="0">
    <w:p w:rsidR="00763473" w:rsidRDefault="00763473"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Header"/>
      <w:ind w:right="-90"/>
      <w:jc w:val="right"/>
      <w:rPr>
        <w:i/>
        <w:iCs/>
        <w:sz w:val="16"/>
      </w:rPr>
    </w:pPr>
  </w:p>
  <w:p w:rsidR="00B85C4D" w:rsidRDefault="00B85C4D">
    <w:pPr>
      <w:pStyle w:val="Header"/>
      <w:jc w:val="right"/>
      <w:rPr>
        <w:i/>
        <w:iCs/>
        <w:sz w:val="16"/>
      </w:rPr>
    </w:pPr>
  </w:p>
  <w:p w:rsidR="00B85C4D" w:rsidRDefault="00B85C4D">
    <w:pPr>
      <w:pStyle w:val="Header"/>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03769"/>
    <w:rsid w:val="00065C3A"/>
    <w:rsid w:val="00091B3C"/>
    <w:rsid w:val="0009377B"/>
    <w:rsid w:val="000C1412"/>
    <w:rsid w:val="000C367D"/>
    <w:rsid w:val="000D5F4F"/>
    <w:rsid w:val="000F545C"/>
    <w:rsid w:val="000F7609"/>
    <w:rsid w:val="00110DCF"/>
    <w:rsid w:val="00114F8B"/>
    <w:rsid w:val="00161690"/>
    <w:rsid w:val="00167933"/>
    <w:rsid w:val="00196777"/>
    <w:rsid w:val="001B091D"/>
    <w:rsid w:val="001B3A7A"/>
    <w:rsid w:val="001C1A2D"/>
    <w:rsid w:val="001F29A0"/>
    <w:rsid w:val="002109F4"/>
    <w:rsid w:val="00210AEE"/>
    <w:rsid w:val="00226C45"/>
    <w:rsid w:val="0023367A"/>
    <w:rsid w:val="00244234"/>
    <w:rsid w:val="0025092D"/>
    <w:rsid w:val="00257E70"/>
    <w:rsid w:val="002679CF"/>
    <w:rsid w:val="0028200F"/>
    <w:rsid w:val="002C53FB"/>
    <w:rsid w:val="002D53C0"/>
    <w:rsid w:val="002D7DDB"/>
    <w:rsid w:val="002E36DA"/>
    <w:rsid w:val="00320DF0"/>
    <w:rsid w:val="00342095"/>
    <w:rsid w:val="00346527"/>
    <w:rsid w:val="00360750"/>
    <w:rsid w:val="003A50FD"/>
    <w:rsid w:val="003B17CB"/>
    <w:rsid w:val="003B41AF"/>
    <w:rsid w:val="003B70C3"/>
    <w:rsid w:val="003D312A"/>
    <w:rsid w:val="003E1CC7"/>
    <w:rsid w:val="004214F7"/>
    <w:rsid w:val="00425BC4"/>
    <w:rsid w:val="00452574"/>
    <w:rsid w:val="00455458"/>
    <w:rsid w:val="00470889"/>
    <w:rsid w:val="00477DAF"/>
    <w:rsid w:val="00495535"/>
    <w:rsid w:val="004A3A4C"/>
    <w:rsid w:val="004C6C26"/>
    <w:rsid w:val="004D5E3C"/>
    <w:rsid w:val="004D7027"/>
    <w:rsid w:val="004F54AD"/>
    <w:rsid w:val="004F79CF"/>
    <w:rsid w:val="005004E8"/>
    <w:rsid w:val="00502B99"/>
    <w:rsid w:val="005076EB"/>
    <w:rsid w:val="005362DA"/>
    <w:rsid w:val="00557128"/>
    <w:rsid w:val="005659A8"/>
    <w:rsid w:val="005B6224"/>
    <w:rsid w:val="005C1AF0"/>
    <w:rsid w:val="005C1C67"/>
    <w:rsid w:val="005D56FB"/>
    <w:rsid w:val="005D6FC2"/>
    <w:rsid w:val="005F1AD3"/>
    <w:rsid w:val="005F2C73"/>
    <w:rsid w:val="00623E12"/>
    <w:rsid w:val="006371C0"/>
    <w:rsid w:val="006374B4"/>
    <w:rsid w:val="00684AEC"/>
    <w:rsid w:val="006900FD"/>
    <w:rsid w:val="006C1027"/>
    <w:rsid w:val="006C372D"/>
    <w:rsid w:val="006D2F7B"/>
    <w:rsid w:val="006D5562"/>
    <w:rsid w:val="006E56B4"/>
    <w:rsid w:val="00740914"/>
    <w:rsid w:val="00746C9F"/>
    <w:rsid w:val="00763473"/>
    <w:rsid w:val="00793A54"/>
    <w:rsid w:val="00794916"/>
    <w:rsid w:val="007A2D90"/>
    <w:rsid w:val="007A45F5"/>
    <w:rsid w:val="007D4C7F"/>
    <w:rsid w:val="007E04FE"/>
    <w:rsid w:val="00817BFC"/>
    <w:rsid w:val="008334C1"/>
    <w:rsid w:val="00844F9F"/>
    <w:rsid w:val="00847F45"/>
    <w:rsid w:val="00862903"/>
    <w:rsid w:val="00881D6A"/>
    <w:rsid w:val="00892BDB"/>
    <w:rsid w:val="008B0C11"/>
    <w:rsid w:val="008F0385"/>
    <w:rsid w:val="008F5417"/>
    <w:rsid w:val="00935DB0"/>
    <w:rsid w:val="00950DAF"/>
    <w:rsid w:val="00955DDE"/>
    <w:rsid w:val="00957126"/>
    <w:rsid w:val="009717B1"/>
    <w:rsid w:val="009721B9"/>
    <w:rsid w:val="009736FE"/>
    <w:rsid w:val="00981DEB"/>
    <w:rsid w:val="009A2969"/>
    <w:rsid w:val="009B1821"/>
    <w:rsid w:val="009C5016"/>
    <w:rsid w:val="009F11E3"/>
    <w:rsid w:val="009F7B7D"/>
    <w:rsid w:val="00A0111D"/>
    <w:rsid w:val="00A0579A"/>
    <w:rsid w:val="00A67445"/>
    <w:rsid w:val="00AA0BD8"/>
    <w:rsid w:val="00AC0398"/>
    <w:rsid w:val="00AC459B"/>
    <w:rsid w:val="00AD2B76"/>
    <w:rsid w:val="00AD4541"/>
    <w:rsid w:val="00B35A71"/>
    <w:rsid w:val="00B556C8"/>
    <w:rsid w:val="00B64E3E"/>
    <w:rsid w:val="00B73A0D"/>
    <w:rsid w:val="00B8270A"/>
    <w:rsid w:val="00B85C4D"/>
    <w:rsid w:val="00BC651A"/>
    <w:rsid w:val="00BD2E30"/>
    <w:rsid w:val="00BD5921"/>
    <w:rsid w:val="00BE1EE2"/>
    <w:rsid w:val="00C07520"/>
    <w:rsid w:val="00C07A67"/>
    <w:rsid w:val="00C1217B"/>
    <w:rsid w:val="00C2367E"/>
    <w:rsid w:val="00C3417D"/>
    <w:rsid w:val="00C40CC8"/>
    <w:rsid w:val="00C42B8E"/>
    <w:rsid w:val="00C44905"/>
    <w:rsid w:val="00C5348C"/>
    <w:rsid w:val="00C7047C"/>
    <w:rsid w:val="00C8239B"/>
    <w:rsid w:val="00CB1351"/>
    <w:rsid w:val="00CC0735"/>
    <w:rsid w:val="00CC2006"/>
    <w:rsid w:val="00CD3262"/>
    <w:rsid w:val="00CE5DDC"/>
    <w:rsid w:val="00D046DF"/>
    <w:rsid w:val="00D5566C"/>
    <w:rsid w:val="00D74FDF"/>
    <w:rsid w:val="00D869C9"/>
    <w:rsid w:val="00D91389"/>
    <w:rsid w:val="00DC221F"/>
    <w:rsid w:val="00DC541A"/>
    <w:rsid w:val="00E01F46"/>
    <w:rsid w:val="00E038CB"/>
    <w:rsid w:val="00E12E2B"/>
    <w:rsid w:val="00E245FE"/>
    <w:rsid w:val="00E266EA"/>
    <w:rsid w:val="00E27D03"/>
    <w:rsid w:val="00E47F5A"/>
    <w:rsid w:val="00E80121"/>
    <w:rsid w:val="00E82217"/>
    <w:rsid w:val="00EA02CC"/>
    <w:rsid w:val="00EB277E"/>
    <w:rsid w:val="00EC5E0D"/>
    <w:rsid w:val="00EC7321"/>
    <w:rsid w:val="00ED094F"/>
    <w:rsid w:val="00EE5DB0"/>
    <w:rsid w:val="00EF05EA"/>
    <w:rsid w:val="00F00154"/>
    <w:rsid w:val="00F21327"/>
    <w:rsid w:val="00F24A99"/>
    <w:rsid w:val="00F33F78"/>
    <w:rsid w:val="00F43EA1"/>
    <w:rsid w:val="00F85BBC"/>
    <w:rsid w:val="00F87A77"/>
    <w:rsid w:val="00FB0DAC"/>
    <w:rsid w:val="00FE01C1"/>
    <w:rsid w:val="00FE0E61"/>
    <w:rsid w:val="00FE4006"/>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553857122">
      <w:bodyDiv w:val="1"/>
      <w:marLeft w:val="0"/>
      <w:marRight w:val="0"/>
      <w:marTop w:val="0"/>
      <w:marBottom w:val="0"/>
      <w:divBdr>
        <w:top w:val="none" w:sz="0" w:space="0" w:color="auto"/>
        <w:left w:val="none" w:sz="0" w:space="0" w:color="auto"/>
        <w:bottom w:val="none" w:sz="0" w:space="0" w:color="auto"/>
        <w:right w:val="none" w:sz="0" w:space="0" w:color="auto"/>
      </w:divBdr>
      <w:divsChild>
        <w:div w:id="1331057791">
          <w:marLeft w:val="0"/>
          <w:marRight w:val="0"/>
          <w:marTop w:val="0"/>
          <w:marBottom w:val="0"/>
          <w:divBdr>
            <w:top w:val="none" w:sz="0" w:space="0" w:color="auto"/>
            <w:left w:val="none" w:sz="0" w:space="0" w:color="auto"/>
            <w:bottom w:val="none" w:sz="0" w:space="0" w:color="auto"/>
            <w:right w:val="none" w:sz="0" w:space="0" w:color="auto"/>
          </w:divBdr>
        </w:div>
      </w:divsChild>
    </w:div>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113790903">
      <w:bodyDiv w:val="1"/>
      <w:marLeft w:val="0"/>
      <w:marRight w:val="0"/>
      <w:marTop w:val="0"/>
      <w:marBottom w:val="0"/>
      <w:divBdr>
        <w:top w:val="none" w:sz="0" w:space="0" w:color="auto"/>
        <w:left w:val="none" w:sz="0" w:space="0" w:color="auto"/>
        <w:bottom w:val="none" w:sz="0" w:space="0" w:color="auto"/>
        <w:right w:val="none" w:sz="0" w:space="0" w:color="auto"/>
      </w:divBdr>
      <w:divsChild>
        <w:div w:id="2045596696">
          <w:marLeft w:val="0"/>
          <w:marRight w:val="0"/>
          <w:marTop w:val="0"/>
          <w:marBottom w:val="0"/>
          <w:divBdr>
            <w:top w:val="none" w:sz="0" w:space="0" w:color="auto"/>
            <w:left w:val="none" w:sz="0" w:space="0" w:color="auto"/>
            <w:bottom w:val="none" w:sz="0" w:space="0" w:color="auto"/>
            <w:right w:val="none" w:sz="0" w:space="0" w:color="auto"/>
          </w:divBdr>
        </w:div>
      </w:divsChild>
    </w:div>
    <w:div w:id="1166365763">
      <w:bodyDiv w:val="1"/>
      <w:marLeft w:val="0"/>
      <w:marRight w:val="0"/>
      <w:marTop w:val="0"/>
      <w:marBottom w:val="0"/>
      <w:divBdr>
        <w:top w:val="none" w:sz="0" w:space="0" w:color="auto"/>
        <w:left w:val="none" w:sz="0" w:space="0" w:color="auto"/>
        <w:bottom w:val="none" w:sz="0" w:space="0" w:color="auto"/>
        <w:right w:val="none" w:sz="0" w:space="0" w:color="auto"/>
      </w:divBdr>
      <w:divsChild>
        <w:div w:id="492650626">
          <w:marLeft w:val="0"/>
          <w:marRight w:val="0"/>
          <w:marTop w:val="0"/>
          <w:marBottom w:val="0"/>
          <w:divBdr>
            <w:top w:val="none" w:sz="0" w:space="0" w:color="auto"/>
            <w:left w:val="none" w:sz="0" w:space="0" w:color="auto"/>
            <w:bottom w:val="none" w:sz="0" w:space="0" w:color="auto"/>
            <w:right w:val="none" w:sz="0" w:space="0" w:color="auto"/>
          </w:divBdr>
        </w:div>
      </w:divsChild>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39172149">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ct.usc.edu/groups/virtual-huma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E95F1-5D6C-4F2C-A146-B2F9FE1E5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9295</Words>
  <Characters>52988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2</cp:revision>
  <cp:lastPrinted>2021-01-30T14:45:00Z</cp:lastPrinted>
  <dcterms:created xsi:type="dcterms:W3CDTF">2022-01-12T14:31:00Z</dcterms:created>
  <dcterms:modified xsi:type="dcterms:W3CDTF">2022-01-12T14:31:00Z</dcterms:modified>
</cp:coreProperties>
</file>