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cs="" w:cstheme="minorBidi"/>
          <w:b/>
          <w:b/>
          <w:color w:val="auto"/>
          <w:sz w:val="28"/>
          <w:szCs w:val="28"/>
        </w:rPr>
      </w:pPr>
      <w:r>
        <w:rPr>
          <w:rFonts w:cs=""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to Enhance Projective Diagnostic Tests for Therapists: </w:t>
        <w:br/>
        <w:t>Establish Needs; Envision Opportunities</w:t>
      </w:r>
    </w:p>
    <w:p>
      <w:pPr>
        <w:pStyle w:val="SAuthAdd"/>
        <w:rPr>
          <w:rFonts w:ascii="Garamond" w:hAnsi="Garamond"/>
        </w:rPr>
      </w:pPr>
      <w:r>
        <w:rPr>
          <w:rFonts w:ascii="Garamond" w:hAnsi="Garamond"/>
        </w:rPr>
      </w:r>
    </w:p>
    <w:p>
      <w:pPr>
        <w:pStyle w:val="Normal"/>
        <w:jc w:val="center"/>
        <w:rPr>
          <w:rFonts w:ascii="Garamond" w:hAnsi="Garamond"/>
        </w:rPr>
      </w:pPr>
      <w:r>
        <w:rPr>
          <w:rFonts w:ascii="Garamond" w:hAnsi="Garamond"/>
          <w:i/>
          <w:sz w:val="22"/>
        </w:rPr>
        <w:t>Dan M. Davis &amp; Judith L. Jacobus</w:t>
      </w:r>
    </w:p>
    <w:p>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pPr>
        <w:pStyle w:val="SAuthAdd"/>
        <w:rPr/>
      </w:pPr>
      <w:hyperlink r:id="rId2">
        <w:r>
          <w:rPr>
            <w:rStyle w:val="Hyperlink1"/>
            <w:rFonts w:ascii="Garamond" w:hAnsi="Garamond"/>
          </w:rPr>
          <w:t>dmdavis@acm.org</w:t>
        </w:r>
      </w:hyperlink>
      <w:r>
        <w:rPr>
          <w:rFonts w:ascii="Garamond" w:hAnsi="Garamond"/>
        </w:rPr>
        <w:t xml:space="preserve"> &amp;</w:t>
        <w:br/>
      </w:r>
      <w:hyperlink r:id="rId3">
        <w:r>
          <w:rPr>
            <w:rStyle w:val="Hyperlink1"/>
            <w:rFonts w:ascii="Garamond" w:hAnsi="Garamond"/>
          </w:rPr>
          <w:t>stately07@dslextreme.com</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Style w:val="SIWAbstrChar"/>
          <w:rFonts w:ascii="Garamond" w:hAnsi="Garamond"/>
          <w:b w:val="false"/>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false"/>
          <w:i w:val="false"/>
        </w:rPr>
        <w:t>e.g.</w:t>
      </w:r>
      <w:r>
        <w:rPr>
          <w:rStyle w:val="SIWAbstrChar"/>
          <w:rFonts w:ascii="Garamond" w:hAnsi="Garamond"/>
          <w:b w:val="false"/>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pPr>
        <w:pStyle w:val="SIWHd1"/>
        <w:ind w:left="0" w:right="0" w:hanging="0"/>
        <w:rPr>
          <w:rFonts w:ascii="Garamond" w:hAnsi="Garamond"/>
        </w:rPr>
      </w:pPr>
      <w:r>
        <w:rPr>
          <w:rFonts w:ascii="Garamond" w:hAnsi="Garamond"/>
        </w:rPr>
      </w:r>
    </w:p>
    <w:p>
      <w:pPr>
        <w:pStyle w:val="SIWHd1"/>
        <w:spacing w:before="72" w:after="144"/>
        <w:ind w:left="0" w:right="0" w:hanging="0"/>
        <w:rPr>
          <w:rFonts w:ascii="Garamond" w:hAnsi="Garamond"/>
        </w:rPr>
      </w:pPr>
      <w:r>
        <w:rPr>
          <w:rFonts w:ascii="Garamond" w:hAnsi="Garamond"/>
        </w:rPr>
        <w:t>Introduction</w:t>
      </w:r>
    </w:p>
    <w:p>
      <w:pPr>
        <w:pStyle w:val="SIWHd1"/>
        <w:ind w:left="0" w:right="0" w:hanging="0"/>
        <w:rPr>
          <w:rFonts w:ascii="Garamond" w:hAnsi="Garamond"/>
        </w:rPr>
      </w:pPr>
      <w:r>
        <w:rPr>
          <w:rFonts w:ascii="Garamond" w:hAnsi="Garamond"/>
          <w:b w:val="false"/>
          <w:bCs w:val="false"/>
          <w:sz w:val="20"/>
          <w:szCs w:val="20"/>
        </w:rPr>
        <w:t>The DoD is like most other large organizations in that its workforce is extensive and varied along a number of dimensions, including that of emotional stability and potential pathology. Constrained budgets, reduced staffing levels and accelerated operations schedules all exacerbate the negative impacts of undetected problems and make poor use of misidentified capabilities. The behavioral sciences have developed a set of accepted evaluation instruments that have shown utility in addressing these issues, but they a time consuming, expensive, and often too subjective to be administered in person. The emergence of XR capabilities and extensions of it show promise in the amelioration of this deficit in personnel evaluation. There are needs and opportunities to be considered in this case and the paper will initiate and further that process.</w:t>
      </w:r>
    </w:p>
    <w:p>
      <w:pPr>
        <w:pStyle w:val="SIWHd1"/>
        <w:spacing w:before="259" w:after="144"/>
        <w:ind w:left="0" w:right="0" w:hanging="0"/>
        <w:rPr>
          <w:rFonts w:ascii="Garamond" w:hAnsi="Garamond"/>
        </w:rPr>
      </w:pPr>
      <w:r>
        <w:rPr>
          <w:rFonts w:ascii="Garamond" w:hAnsi="Garamond"/>
        </w:rPr>
        <w:t>Background</w:t>
      </w:r>
    </w:p>
    <w:p>
      <w:pPr>
        <w:pStyle w:val="SIWHd1"/>
        <w:spacing w:before="230" w:after="144"/>
        <w:ind w:left="0" w:right="0" w:hanging="0"/>
        <w:rPr>
          <w:rFonts w:ascii="Garamond" w:hAnsi="Garamond"/>
        </w:rPr>
      </w:pPr>
      <w:r>
        <w:rPr>
          <w:rFonts w:ascii="Garamond" w:hAnsi="Garamond"/>
          <w:b w:val="false"/>
          <w:bCs w:val="false"/>
          <w:sz w:val="20"/>
          <w:szCs w:val="20"/>
        </w:rPr>
        <w:t xml:space="preserve">Most of the emotional variables in DoD Personnel are not disabling; some are manifestly beneficial in the pursuit of the defense goals of the nation, </w:t>
      </w:r>
      <w:r>
        <w:rPr>
          <w:rFonts w:ascii="Garamond" w:hAnsi="Garamond"/>
          <w:b w:val="false"/>
          <w:bCs w:val="false"/>
          <w:i/>
          <w:iCs/>
          <w:sz w:val="20"/>
          <w:szCs w:val="20"/>
        </w:rPr>
        <w:t xml:space="preserve">e.g. </w:t>
      </w:r>
      <w:r>
        <w:rPr>
          <w:rFonts w:ascii="Garamond" w:hAnsi="Garamond"/>
          <w:b w:val="false"/>
          <w:bCs w:val="false"/>
          <w:sz w:val="20"/>
          <w:szCs w:val="20"/>
        </w:rPr>
        <w:t xml:space="preserve">data analytics endeavors profit from an almost OCD (Obsessive Compulsive Disorder) personality. However, usefully identifying and quantifying emotional profiles is not easy, reliable or inexpensive. These characteristics are not addressed by the ASVAB (Armed Services Vocational Aptitude Battery) which tests for aptitude, not for interest and motivation. 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 requiring such a change in duties. When a person invest months or years in difficult training and then finds out they are unsuited to the task assigned it must have a negative impact on the human ego. Two anecdotal examples come to mind. One was a young Marine enlisted man who trained for more than half a year to become a Morse Intercept Operator, only to find that when assigned to a post in Vietnam, the pressure of performing in an operational setting completely disabled him from performing at any productive level. The command’s response was to assign him to the more mundane, but vital, task of typing endless teletype reports in a calmer office setting instead of the tumult of a combat zone radio intercept bay. A second would be the report by General Hal Moore of a young soldier who was inserted via helicopter into the </w:t>
      </w:r>
      <w:r>
        <w:rPr>
          <w:rFonts w:ascii="Garamond" w:hAnsi="Garamond"/>
          <w:b w:val="false"/>
          <w:bCs w:val="false"/>
          <w:i/>
          <w:sz w:val="20"/>
          <w:szCs w:val="20"/>
        </w:rPr>
        <w:t>Ia Drang</w:t>
      </w:r>
      <w:r>
        <w:rPr>
          <w:rFonts w:ascii="Garamond" w:hAnsi="Garamond"/>
          <w:b w:val="false"/>
          <w:bCs w:val="false"/>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position covering a flank of the unit's position and emplaced his weapon, only to find his assistant gunner was no longer with him. The Gunner assumed his buddy had been shot by an AK-47 or had been wounded by incoming RPG or 82 mm mortar rounds. Later he was to find out that his A-Gunner had become so traumatized by the sight of the wounded that he had gotten back on the helicopter with the dead and wounded being evacuated and resisted physical attempts to make him disembark. As the wounded were in need of immediate evacuation and the helicopter was taking rifle rounds in the fuselage, the pilot could not wait and took off. When the helicopter got back to base, the man was still in emotional shock and required sedation. He was transferred back to the US and discharged as unfit (Moore &amp; Galloway, 2004) . This was a waste of training, a failure of a vital personnel component in a combat setting and, no doubt, a destructive event in the personal life of the soldier. Both of these unfortunate, wasteful and even dangerously mistaken placements could have been avoided if efficacious diagnostic testing had been available to enable a more appropriate and less destructive assignment for both young men.</w:t>
      </w:r>
    </w:p>
    <w:p>
      <w:pPr>
        <w:pStyle w:val="SIWHd1"/>
        <w:ind w:left="0" w:right="180" w:hanging="0"/>
        <w:rPr>
          <w:rFonts w:ascii="Garamond" w:hAnsi="Garamond"/>
        </w:rPr>
      </w:pPr>
      <w:r>
        <w:rPr>
          <w:rFonts w:ascii="Garamond" w:hAnsi="Garamond"/>
          <w:b w:val="false"/>
          <w:bCs w:val="false"/>
          <w:sz w:val="20"/>
          <w:szCs w:val="20"/>
        </w:rPr>
        <w:t xml:space="preserve">Projective tests are an accepted and often utilized method of detecting otherwise unnoticed personality characteristics of importance. Examples o these test that are familiar to the educated public are the Rorschach Ink-blot Test, the Thematic Apperception Test, the Word Association Test, the Draw-a-Man Test and the Sentence Completion Test. They all rely to some degree on the Freudian insight that many people have underlying issues that are both unknown to the person and hidden from the evaluator. Practitioners and therapist find them useful in day-to-day evaluation and therapy.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false"/>
          <w:bCs w:val="false"/>
          <w:i/>
          <w:iCs/>
          <w:sz w:val="20"/>
          <w:szCs w:val="20"/>
        </w:rPr>
        <w:t>e.g.</w:t>
      </w:r>
      <w:r>
        <w:rPr>
          <w:rFonts w:ascii="Garamond" w:hAnsi="Garamond"/>
          <w:b w:val="false"/>
          <w:bCs w:val="false"/>
          <w:sz w:val="20"/>
          <w:szCs w:val="20"/>
        </w:rPr>
        <w:t xml:space="preserve"> the Minnesota Multiplicand Personality Inventory (MMPI), these tests are administered in person and much of their utility relies on the sensitive observation by the professional of a range of characteristics of the person being evaluated: verbal content, voice quality, facial expression, body language and pace of response. There is a requisite give-and-take between the person being evaluated and the supportive administrator of the test.</w:t>
      </w:r>
    </w:p>
    <w:p>
      <w:pPr>
        <w:pStyle w:val="SIWHd1"/>
        <w:ind w:left="0" w:right="180" w:hanging="0"/>
        <w:rPr>
          <w:rFonts w:ascii="Garamond" w:hAnsi="Garamond"/>
          <w:b w:val="false"/>
          <w:b w:val="false"/>
          <w:bCs w:val="false"/>
          <w:sz w:val="20"/>
          <w:szCs w:val="20"/>
        </w:rPr>
      </w:pPr>
      <w:r>
        <w:rPr>
          <w:rFonts w:ascii="Garamond" w:hAnsi="Garamond"/>
          <w:b w:val="false"/>
          <w:bCs w:val="false"/>
          <w:sz w:val="20"/>
          <w:szCs w:val="20"/>
        </w:rPr>
      </w:r>
      <w:r>
        <mc:AlternateContent>
          <mc:Choice Requires="wps">
            <w:drawing>
              <wp:anchor behindDoc="0" distT="0" distB="0" distL="114300" distR="114300" simplePos="0" locked="0" layoutInCell="0" allowOverlap="1" relativeHeight="2">
                <wp:simplePos x="0" y="0"/>
                <wp:positionH relativeFrom="column">
                  <wp:posOffset>3645535</wp:posOffset>
                </wp:positionH>
                <wp:positionV relativeFrom="paragraph">
                  <wp:posOffset>107950</wp:posOffset>
                </wp:positionV>
                <wp:extent cx="2501900" cy="4394835"/>
                <wp:effectExtent l="0" t="0" r="0" b="0"/>
                <wp:wrapSquare wrapText="bothSides"/>
                <wp:docPr id="1" name=""/>
                <a:graphic xmlns:a="http://schemas.openxmlformats.org/drawingml/2006/main">
                  <a:graphicData uri="http://schemas.microsoft.com/office/word/2010/wordprocessingShape">
                    <wps:wsp>
                      <wps:cNvSpPr txBox="1"/>
                      <wps:spPr>
                        <a:xfrm>
                          <a:off x="0" y="0"/>
                          <a:ext cx="2501900" cy="4394835"/>
                        </a:xfrm>
                        <a:prstGeom prst="rect"/>
                        <a:solidFill>
                          <a:srgbClr val="FFFFFF"/>
                        </a:solidFill>
                      </wps:spPr>
                      <wps:txbx>
                        <w:txbxContent>
                          <w:p>
                            <w:pPr>
                              <w:pStyle w:val="FrameContents"/>
                              <w:keepNext w:val="true"/>
                              <w:jc w:val="center"/>
                              <w:rPr/>
                            </w:pPr>
                            <w:r>
                              <w:rPr/>
                              <w:drawing>
                                <wp:inline distT="0" distB="0" distL="0" distR="0">
                                  <wp:extent cx="2106930" cy="12928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4"/>
                                          <a:srcRect l="0" t="5842" r="0" b="8763"/>
                                          <a:stretch>
                                            <a:fillRect/>
                                          </a:stretch>
                                        </pic:blipFill>
                                        <pic:spPr bwMode="auto">
                                          <a:xfrm>
                                            <a:off x="0" y="0"/>
                                            <a:ext cx="2106930" cy="1292860"/>
                                          </a:xfrm>
                                          <a:prstGeom prst="rect">
                                            <a:avLst/>
                                          </a:prstGeom>
                                        </pic:spPr>
                                      </pic:pic>
                                    </a:graphicData>
                                  </a:graphic>
                                </wp:inline>
                              </w:drawing>
                            </w:r>
                          </w:p>
                          <w:p>
                            <w:pPr>
                              <w:pStyle w:val="Caption1"/>
                              <w:spacing w:before="0" w:after="160"/>
                              <w:jc w:val="center"/>
                              <w:rPr>
                                <w:color w:val="auto"/>
                              </w:rPr>
                            </w:pPr>
                            <w:r>
                              <w:rPr>
                                <w:color w:val="auto"/>
                              </w:rPr>
                              <w:t xml:space="preserve">Figure </w:t>
                            </w:r>
                            <w:r>
                              <w:rPr>
                                <w:color w:val="auto"/>
                              </w:rPr>
                              <w:fldChar w:fldCharType="begin"/>
                            </w:r>
                            <w:r>
                              <w:rPr>
                                <w:color w:val="auto"/>
                              </w:rPr>
                              <w:instrText> SEQ Figure \* ARABIC </w:instrText>
                            </w:r>
                            <w:r>
                              <w:rPr>
                                <w:color w:val="auto"/>
                              </w:rPr>
                              <w:fldChar w:fldCharType="separate"/>
                            </w:r>
                            <w:r>
                              <w:rPr>
                                <w:color w:val="auto"/>
                              </w:rPr>
                              <w:t>1</w:t>
                            </w:r>
                            <w:r>
                              <w:rPr>
                                <w:color w:val="auto"/>
                              </w:rPr>
                              <w:fldChar w:fldCharType="end"/>
                            </w:r>
                            <w:r>
                              <w:rPr>
                                <w:color w:val="auto"/>
                              </w:rPr>
                              <w:t xml:space="preserve"> Rorschach Ink-blot (Wiki, 2021)</w:t>
                            </w:r>
                          </w:p>
                          <w:p>
                            <w:pPr>
                              <w:pStyle w:val="FrameContents"/>
                              <w:keepNext w:val="true"/>
                              <w:jc w:val="center"/>
                              <w:rPr/>
                            </w:pPr>
                            <w:r>
                              <w:rPr/>
                              <w:drawing>
                                <wp:inline distT="0" distB="0" distL="0" distR="0">
                                  <wp:extent cx="2117090" cy="1060450"/>
                                  <wp:effectExtent l="0" t="0" r="0" b="0"/>
                                  <wp:docPr id="3"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ttps://1.bp.blogspot.com/-K9omewBdpPM/XDUYU6b9d_I/AAAAAAAAARs/mZcjV3wmqCIhkJVy5wS8tAzguqOyRQTMgCPcBGAYYCw/s320/thematic-apperception-test.jpg"/>
                                          <pic:cNvPicPr>
                                            <a:picLocks noChangeAspect="1" noChangeArrowheads="1"/>
                                          </pic:cNvPicPr>
                                        </pic:nvPicPr>
                                        <pic:blipFill>
                                          <a:blip r:embed="rId5"/>
                                          <a:stretch>
                                            <a:fillRect/>
                                          </a:stretch>
                                        </pic:blipFill>
                                        <pic:spPr bwMode="auto">
                                          <a:xfrm>
                                            <a:off x="0" y="0"/>
                                            <a:ext cx="2117090" cy="1060450"/>
                                          </a:xfrm>
                                          <a:prstGeom prst="rect">
                                            <a:avLst/>
                                          </a:prstGeom>
                                        </pic:spPr>
                                      </pic:pic>
                                    </a:graphicData>
                                  </a:graphic>
                                </wp:inline>
                              </w:drawing>
                            </w:r>
                          </w:p>
                          <w:p>
                            <w:pPr>
                              <w:pStyle w:val="Caption1"/>
                              <w:spacing w:before="0" w:after="160"/>
                              <w:jc w:val="center"/>
                              <w:rPr>
                                <w:color w:val="auto"/>
                              </w:rPr>
                            </w:pPr>
                            <w:r>
                              <w:rPr>
                                <w:color w:val="auto"/>
                              </w:rPr>
                              <w:t xml:space="preserve">Figure </w:t>
                            </w:r>
                            <w:r>
                              <w:rPr>
                                <w:color w:val="auto"/>
                              </w:rPr>
                              <w:fldChar w:fldCharType="begin"/>
                            </w:r>
                            <w:r>
                              <w:rPr>
                                <w:color w:val="auto"/>
                              </w:rPr>
                              <w:instrText> SEQ Figure \* ARABIC </w:instrText>
                            </w:r>
                            <w:r>
                              <w:rPr>
                                <w:color w:val="auto"/>
                              </w:rPr>
                              <w:fldChar w:fldCharType="separate"/>
                            </w:r>
                            <w:r>
                              <w:rPr>
                                <w:color w:val="auto"/>
                              </w:rPr>
                              <w:t>2</w:t>
                            </w:r>
                            <w:r>
                              <w:rPr>
                                <w:color w:val="auto"/>
                              </w:rPr>
                              <w:fldChar w:fldCharType="end"/>
                            </w:r>
                            <w:r>
                              <w:rPr>
                                <w:color w:val="auto"/>
                              </w:rPr>
                              <w:t xml:space="preserve"> – Two Images from the TAT</w:t>
                            </w:r>
                          </w:p>
                          <w:p>
                            <w:pPr>
                              <w:pStyle w:val="FrameContents"/>
                              <w:jc w:val="center"/>
                              <w:rPr/>
                            </w:pPr>
                            <w:r>
                              <w:rPr/>
                              <w:drawing>
                                <wp:inline distT="0" distB="0" distL="0" distR="0">
                                  <wp:extent cx="2118360" cy="983615"/>
                                  <wp:effectExtent l="0" t="0" r="0" b="0"/>
                                  <wp:docPr id="4"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DrawAPersonCrpd.jpg"/>
                                          <pic:cNvPicPr>
                                            <a:picLocks noChangeAspect="1" noChangeArrowheads="1"/>
                                          </pic:cNvPicPr>
                                        </pic:nvPicPr>
                                        <pic:blipFill>
                                          <a:blip r:embed="rId6"/>
                                          <a:stretch>
                                            <a:fillRect/>
                                          </a:stretch>
                                        </pic:blipFill>
                                        <pic:spPr bwMode="auto">
                                          <a:xfrm>
                                            <a:off x="0" y="0"/>
                                            <a:ext cx="2118360" cy="983615"/>
                                          </a:xfrm>
                                          <a:prstGeom prst="rect">
                                            <a:avLst/>
                                          </a:prstGeom>
                                          <a:ln w="3175">
                                            <a:solidFill>
                                              <a:srgbClr val="000000"/>
                                            </a:solidFill>
                                          </a:ln>
                                        </pic:spPr>
                                      </pic:pic>
                                    </a:graphicData>
                                  </a:graphic>
                                </wp:inline>
                              </w:drawing>
                            </w:r>
                          </w:p>
                          <w:p>
                            <w:pPr>
                              <w:pStyle w:val="Caption1"/>
                              <w:spacing w:before="0" w:after="160"/>
                              <w:jc w:val="center"/>
                              <w:rPr>
                                <w:color w:val="auto"/>
                                <w:spacing w:val="-10"/>
                              </w:rPr>
                            </w:pPr>
                            <w:r>
                              <w:rPr>
                                <w:color w:val="auto"/>
                                <w:spacing w:val="-10"/>
                              </w:rPr>
                              <w:t xml:space="preserve">Figure </w:t>
                            </w:r>
                            <w:r>
                              <w:rPr>
                                <w:color w:val="auto"/>
                                <w:spacing w:val="-10"/>
                              </w:rPr>
                              <w:fldChar w:fldCharType="begin"/>
                            </w:r>
                            <w:r>
                              <w:rPr>
                                <w:spacing w:val="-10"/>
                                <w:color w:val="auto"/>
                              </w:rPr>
                              <w:instrText> SEQ Figure \* ARABIC </w:instrText>
                            </w:r>
                            <w:r>
                              <w:rPr>
                                <w:spacing w:val="-10"/>
                                <w:color w:val="auto"/>
                              </w:rPr>
                              <w:fldChar w:fldCharType="separate"/>
                            </w:r>
                            <w:r>
                              <w:rPr>
                                <w:spacing w:val="-10"/>
                                <w:color w:val="auto"/>
                              </w:rPr>
                              <w:t>3</w:t>
                            </w:r>
                            <w:r>
                              <w:rPr>
                                <w:spacing w:val="-10"/>
                                <w:color w:val="auto"/>
                              </w:rPr>
                              <w:fldChar w:fldCharType="end"/>
                            </w:r>
                            <w:r>
                              <w:rPr>
                                <w:color w:val="auto"/>
                                <w:spacing w:val="-10"/>
                              </w:rPr>
                              <w:t xml:space="preserve"> – Samples of the Draw-a-Child Test</w:t>
                            </w:r>
                          </w:p>
                        </w:txbxContent>
                      </wps:txbx>
                      <wps:bodyPr anchor="t" lIns="91440" tIns="45720" rIns="91440" bIns="45720">
                        <a:noAutofit/>
                      </wps:bodyPr>
                    </wps:wsp>
                  </a:graphicData>
                </a:graphic>
              </wp:anchor>
            </w:drawing>
          </mc:Choice>
          <mc:Fallback>
            <w:pict>
              <v:rect fillcolor="#FFFFFF" stroked="f" strokeweight="0pt" style="position:absolute;rotation:0;width:197pt;height:346.05pt;mso-wrap-distance-left:9pt;mso-wrap-distance-right:9pt;mso-wrap-distance-top:0pt;mso-wrap-distance-bottom:0pt;margin-top:8.5pt;mso-position-vertical-relative:text;margin-left:287.05pt;mso-position-horizontal-relative:text">
                <v:textbox>
                  <w:txbxContent>
                    <w:p>
                      <w:pPr>
                        <w:pStyle w:val="FrameContents"/>
                        <w:keepNext w:val="true"/>
                        <w:jc w:val="center"/>
                        <w:rPr/>
                      </w:pPr>
                      <w:r>
                        <w:rPr/>
                        <w:drawing>
                          <wp:inline distT="0" distB="0" distL="0" distR="0">
                            <wp:extent cx="2106930" cy="1292860"/>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4"/>
                                    <a:srcRect l="0" t="5842" r="0" b="8763"/>
                                    <a:stretch>
                                      <a:fillRect/>
                                    </a:stretch>
                                  </pic:blipFill>
                                  <pic:spPr bwMode="auto">
                                    <a:xfrm>
                                      <a:off x="0" y="0"/>
                                      <a:ext cx="2106930" cy="1292860"/>
                                    </a:xfrm>
                                    <a:prstGeom prst="rect">
                                      <a:avLst/>
                                    </a:prstGeom>
                                  </pic:spPr>
                                </pic:pic>
                              </a:graphicData>
                            </a:graphic>
                          </wp:inline>
                        </w:drawing>
                      </w:r>
                    </w:p>
                    <w:p>
                      <w:pPr>
                        <w:pStyle w:val="Caption1"/>
                        <w:spacing w:before="0" w:after="160"/>
                        <w:jc w:val="center"/>
                        <w:rPr>
                          <w:color w:val="auto"/>
                        </w:rPr>
                      </w:pPr>
                      <w:r>
                        <w:rPr>
                          <w:color w:val="auto"/>
                        </w:rPr>
                        <w:t xml:space="preserve">Figure </w:t>
                      </w:r>
                      <w:r>
                        <w:rPr>
                          <w:color w:val="auto"/>
                        </w:rPr>
                        <w:fldChar w:fldCharType="begin"/>
                      </w:r>
                      <w:r>
                        <w:rPr>
                          <w:color w:val="auto"/>
                        </w:rPr>
                        <w:instrText> SEQ Figure \* ARABIC </w:instrText>
                      </w:r>
                      <w:r>
                        <w:rPr>
                          <w:color w:val="auto"/>
                        </w:rPr>
                        <w:fldChar w:fldCharType="separate"/>
                      </w:r>
                      <w:r>
                        <w:rPr>
                          <w:color w:val="auto"/>
                        </w:rPr>
                        <w:t>1</w:t>
                      </w:r>
                      <w:r>
                        <w:rPr>
                          <w:color w:val="auto"/>
                        </w:rPr>
                        <w:fldChar w:fldCharType="end"/>
                      </w:r>
                      <w:r>
                        <w:rPr>
                          <w:color w:val="auto"/>
                        </w:rPr>
                        <w:t xml:space="preserve"> Rorschach Ink-blot (Wiki, 2021)</w:t>
                      </w:r>
                    </w:p>
                    <w:p>
                      <w:pPr>
                        <w:pStyle w:val="FrameContents"/>
                        <w:keepNext w:val="true"/>
                        <w:jc w:val="center"/>
                        <w:rPr/>
                      </w:pPr>
                      <w:r>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5"/>
                                    <a:stretch>
                                      <a:fillRect/>
                                    </a:stretch>
                                  </pic:blipFill>
                                  <pic:spPr bwMode="auto">
                                    <a:xfrm>
                                      <a:off x="0" y="0"/>
                                      <a:ext cx="2117090" cy="1060450"/>
                                    </a:xfrm>
                                    <a:prstGeom prst="rect">
                                      <a:avLst/>
                                    </a:prstGeom>
                                  </pic:spPr>
                                </pic:pic>
                              </a:graphicData>
                            </a:graphic>
                          </wp:inline>
                        </w:drawing>
                      </w:r>
                    </w:p>
                    <w:p>
                      <w:pPr>
                        <w:pStyle w:val="Caption1"/>
                        <w:spacing w:before="0" w:after="160"/>
                        <w:jc w:val="center"/>
                        <w:rPr>
                          <w:color w:val="auto"/>
                        </w:rPr>
                      </w:pPr>
                      <w:r>
                        <w:rPr>
                          <w:color w:val="auto"/>
                        </w:rPr>
                        <w:t xml:space="preserve">Figure </w:t>
                      </w:r>
                      <w:r>
                        <w:rPr>
                          <w:color w:val="auto"/>
                        </w:rPr>
                        <w:fldChar w:fldCharType="begin"/>
                      </w:r>
                      <w:r>
                        <w:rPr>
                          <w:color w:val="auto"/>
                        </w:rPr>
                        <w:instrText> SEQ Figure \* ARABIC </w:instrText>
                      </w:r>
                      <w:r>
                        <w:rPr>
                          <w:color w:val="auto"/>
                        </w:rPr>
                        <w:fldChar w:fldCharType="separate"/>
                      </w:r>
                      <w:r>
                        <w:rPr>
                          <w:color w:val="auto"/>
                        </w:rPr>
                        <w:t>2</w:t>
                      </w:r>
                      <w:r>
                        <w:rPr>
                          <w:color w:val="auto"/>
                        </w:rPr>
                        <w:fldChar w:fldCharType="end"/>
                      </w:r>
                      <w:r>
                        <w:rPr>
                          <w:color w:val="auto"/>
                        </w:rPr>
                        <w:t xml:space="preserve"> – Two Images from the TAT</w:t>
                      </w:r>
                    </w:p>
                    <w:p>
                      <w:pPr>
                        <w:pStyle w:val="FrameContents"/>
                        <w:jc w:val="center"/>
                        <w:rPr/>
                      </w:pPr>
                      <w:r>
                        <w:rPr/>
                        <w:drawing>
                          <wp:inline distT="0" distB="0" distL="0" distR="0">
                            <wp:extent cx="2118360" cy="983615"/>
                            <wp:effectExtent l="0" t="0" r="0" b="0"/>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6"/>
                                    <a:stretch>
                                      <a:fillRect/>
                                    </a:stretch>
                                  </pic:blipFill>
                                  <pic:spPr bwMode="auto">
                                    <a:xfrm>
                                      <a:off x="0" y="0"/>
                                      <a:ext cx="2118360" cy="983615"/>
                                    </a:xfrm>
                                    <a:prstGeom prst="rect">
                                      <a:avLst/>
                                    </a:prstGeom>
                                    <a:ln w="3175">
                                      <a:solidFill>
                                        <a:srgbClr val="000000"/>
                                      </a:solidFill>
                                    </a:ln>
                                  </pic:spPr>
                                </pic:pic>
                              </a:graphicData>
                            </a:graphic>
                          </wp:inline>
                        </w:drawing>
                      </w:r>
                    </w:p>
                    <w:p>
                      <w:pPr>
                        <w:pStyle w:val="Caption1"/>
                        <w:spacing w:before="0" w:after="160"/>
                        <w:jc w:val="center"/>
                        <w:rPr>
                          <w:color w:val="auto"/>
                          <w:spacing w:val="-10"/>
                        </w:rPr>
                      </w:pPr>
                      <w:r>
                        <w:rPr>
                          <w:color w:val="auto"/>
                          <w:spacing w:val="-10"/>
                        </w:rPr>
                        <w:t xml:space="preserve">Figure </w:t>
                      </w:r>
                      <w:r>
                        <w:rPr>
                          <w:color w:val="auto"/>
                          <w:spacing w:val="-10"/>
                        </w:rPr>
                        <w:fldChar w:fldCharType="begin"/>
                      </w:r>
                      <w:r>
                        <w:rPr>
                          <w:spacing w:val="-10"/>
                          <w:color w:val="auto"/>
                        </w:rPr>
                        <w:instrText> SEQ Figure \* ARABIC </w:instrText>
                      </w:r>
                      <w:r>
                        <w:rPr>
                          <w:spacing w:val="-10"/>
                          <w:color w:val="auto"/>
                        </w:rPr>
                        <w:fldChar w:fldCharType="separate"/>
                      </w:r>
                      <w:r>
                        <w:rPr>
                          <w:spacing w:val="-10"/>
                          <w:color w:val="auto"/>
                        </w:rPr>
                        <w:t>3</w:t>
                      </w:r>
                      <w:r>
                        <w:rPr>
                          <w:spacing w:val="-10"/>
                          <w:color w:val="auto"/>
                        </w:rPr>
                        <w:fldChar w:fldCharType="end"/>
                      </w:r>
                      <w:r>
                        <w:rPr>
                          <w:color w:val="auto"/>
                          <w:spacing w:val="-10"/>
                        </w:rPr>
                        <w:t xml:space="preserve"> – Samples of the Draw-a-Child Test</w:t>
                      </w:r>
                    </w:p>
                  </w:txbxContent>
                </v:textbox>
                <w10:wrap type="square"/>
              </v:rect>
            </w:pict>
          </mc:Fallback>
        </mc:AlternateContent>
      </w:r>
    </w:p>
    <w:p>
      <w:pPr>
        <w:pStyle w:val="SIWHd1"/>
        <w:ind w:left="0" w:right="180" w:hanging="0"/>
        <w:rPr>
          <w:rFonts w:ascii="Garamond" w:hAnsi="Garamond"/>
        </w:rPr>
      </w:pPr>
      <w:r>
        <w:rPr>
          <w:rFonts w:ascii="Garamond" w:hAnsi="Garamond"/>
          <w:b w:val="false"/>
          <w:bCs w:val="false"/>
          <w:sz w:val="20"/>
          <w:szCs w:val="20"/>
        </w:rPr>
        <w:t>As a reminder of how these tests work and why a simple rendering of the test into an audio-video transcription of the instructions would fail, below is a quick survey of a few of the better known tests:</w:t>
      </w:r>
    </w:p>
    <w:p>
      <w:pPr>
        <w:pStyle w:val="SIWHd1"/>
        <w:tabs>
          <w:tab w:val="clear" w:pos="363"/>
          <w:tab w:val="left" w:pos="720" w:leader="none"/>
        </w:tabs>
        <w:ind w:left="360" w:right="180" w:hanging="180"/>
        <w:rPr>
          <w:rFonts w:ascii="Garamond" w:hAnsi="Garamond"/>
        </w:rPr>
      </w:pPr>
      <w:r>
        <w:rPr>
          <w:rFonts w:ascii="Garamond" w:hAnsi="Garamond"/>
          <w:bCs w:val="false"/>
          <w:sz w:val="20"/>
          <w:szCs w:val="20"/>
        </w:rPr>
        <w:t>Rorschach Ink-blot Test</w:t>
      </w:r>
      <w:r>
        <w:rPr>
          <w:rFonts w:ascii="Garamond" w:hAnsi="Garamond"/>
          <w:b w:val="false"/>
          <w:bCs w:val="false"/>
          <w:sz w:val="20"/>
          <w:szCs w:val="20"/>
        </w:rPr>
        <w:t xml:space="preserve">: the subject is shown a series of ink-blots (Figure 1), being careful that no affect is injected, and the subject is asked to describe them. The evaluator then applies a series of formal analytic criteria in assessing what that may say about the subject. </w:t>
      </w:r>
      <w:r>
        <w:rPr>
          <w:rFonts w:ascii="Garamond" w:hAnsi="Garamond"/>
          <w:b w:val="false"/>
          <w:sz w:val="20"/>
          <w:szCs w:val="20"/>
        </w:rPr>
        <w:t xml:space="preserve">The diminution of the subjectivity of this test would be a major focus of a computerized analysis of results. </w:t>
      </w:r>
    </w:p>
    <w:p>
      <w:pPr>
        <w:pStyle w:val="SIWHd1"/>
        <w:tabs>
          <w:tab w:val="left" w:pos="363" w:leader="none"/>
          <w:tab w:val="left" w:pos="720" w:leader="none"/>
        </w:tabs>
        <w:ind w:left="360" w:right="180" w:hanging="180"/>
        <w:rPr>
          <w:rFonts w:ascii="Garamond" w:hAnsi="Garamond"/>
        </w:rPr>
      </w:pPr>
      <w:r>
        <w:rPr>
          <w:rFonts w:ascii="Garamond" w:hAnsi="Garamond"/>
          <w:bCs w:val="false"/>
          <w:sz w:val="20"/>
          <w:szCs w:val="20"/>
        </w:rPr>
        <w:t>Thematic Apperception Test</w:t>
      </w:r>
      <w:r>
        <w:rPr>
          <w:rFonts w:ascii="Garamond" w:hAnsi="Garamond"/>
          <w:b w:val="false"/>
          <w:bCs w:val="false"/>
          <w:sz w:val="20"/>
          <w:szCs w:val="20"/>
        </w:rPr>
        <w:t xml:space="preserve"> (TAT): the evaluator presents a series of provocative, but ambiguous pictures, (Figure 2) about which the subject is asked to speculate. Then the subject is asked to tell a story about the picture, relating the back-story of the picture, what is happening, how the people are feeling, and what the outcome will be. The evaluator then subjectively attempts to gain insight into issues that may not be articulated by the subject, but are of continuing concern to them. (Fusca, 2018)</w:t>
      </w:r>
    </w:p>
    <w:p>
      <w:pPr>
        <w:pStyle w:val="SIWHd1"/>
        <w:tabs>
          <w:tab w:val="clear" w:pos="363"/>
          <w:tab w:val="left" w:pos="720" w:leader="none"/>
        </w:tabs>
        <w:ind w:left="360" w:right="180" w:hanging="180"/>
        <w:rPr>
          <w:rFonts w:ascii="Garamond" w:hAnsi="Garamond"/>
        </w:rPr>
      </w:pPr>
      <w:r>
        <w:rPr>
          <w:rFonts w:ascii="Garamond" w:hAnsi="Garamond"/>
          <w:bCs w:val="false"/>
          <w:sz w:val="20"/>
          <w:szCs w:val="20"/>
        </w:rPr>
        <w:t>Draw-a-Person Test</w:t>
      </w:r>
      <w:r>
        <w:rPr>
          <w:rFonts w:ascii="Garamond" w:hAnsi="Garamond"/>
          <w:b w:val="false"/>
          <w:bCs w:val="false"/>
          <w:sz w:val="20"/>
          <w:szCs w:val="20"/>
        </w:rPr>
        <w:t xml:space="preserve">: the DAP was originally intended for children and is conducted by the evaluator's asking the person to complete three drawings: a man, a woman, and themselves (Figure 3). The results are slanted toward the intellectual abilities of the subject, but the DSP is known to reveal how the subjects react under pressure. Some of the depravities of the DAP may be of utility in a DoD setting without too much further work on adult metrics and evaluative procedures (Machover, 1949). Some of these are targeted on adolescents, a group often accessing into the DoD. </w:t>
      </w:r>
    </w:p>
    <w:p>
      <w:pPr>
        <w:pStyle w:val="SIWHd1"/>
        <w:tabs>
          <w:tab w:val="clear" w:pos="363"/>
          <w:tab w:val="left" w:pos="720" w:leader="none"/>
        </w:tabs>
        <w:ind w:left="360" w:right="180" w:hanging="180"/>
        <w:rPr>
          <w:rFonts w:ascii="Garamond" w:hAnsi="Garamond"/>
        </w:rPr>
      </w:pPr>
      <w:r>
        <w:rPr>
          <w:rFonts w:ascii="Garamond" w:hAnsi="Garamond"/>
          <w:bCs w:val="false"/>
          <w:sz w:val="20"/>
          <w:szCs w:val="20"/>
        </w:rPr>
        <w:t>Word Association Test</w:t>
      </w:r>
      <w:r>
        <w:rPr>
          <w:rFonts w:ascii="Garamond" w:hAnsi="Garamond"/>
          <w:b w:val="false"/>
          <w:bCs w:val="false"/>
          <w:sz w:val="20"/>
          <w:szCs w:val="20"/>
        </w:rPr>
        <w:t xml:space="preserve">: consists of around one hundred words that are read individually to a subject, who was put under time pressure to answer with the first word that occurs to them. The response was analyzed using the reaction time, verbal content and other behavior. One variant has the subject write a short meaningful sentence. The test can be used to diagnose psychopathologies. These tests are favored by the Freudians and Jungians.  (Ross, </w:t>
      </w:r>
      <w:r>
        <w:rPr>
          <w:rFonts w:ascii="Garamond" w:hAnsi="Garamond"/>
          <w:b w:val="false"/>
          <w:bCs w:val="false"/>
          <w:i/>
          <w:sz w:val="20"/>
          <w:szCs w:val="20"/>
        </w:rPr>
        <w:t>et al.</w:t>
      </w:r>
      <w:r>
        <w:rPr>
          <w:rFonts w:ascii="Garamond" w:hAnsi="Garamond"/>
          <w:b w:val="false"/>
          <w:bCs w:val="false"/>
          <w:sz w:val="20"/>
          <w:szCs w:val="20"/>
        </w:rPr>
        <w:t>, 2007)</w:t>
      </w:r>
    </w:p>
    <w:p>
      <w:pPr>
        <w:pStyle w:val="SIWHd1"/>
        <w:tabs>
          <w:tab w:val="clear" w:pos="363"/>
          <w:tab w:val="left" w:pos="720" w:leader="none"/>
        </w:tabs>
        <w:ind w:left="360" w:right="180" w:hanging="180"/>
        <w:rPr>
          <w:rFonts w:ascii="Garamond" w:hAnsi="Garamond"/>
        </w:rPr>
      </w:pPr>
      <w:r>
        <w:rPr>
          <w:rFonts w:ascii="Garamond" w:hAnsi="Garamond"/>
          <w:bCs w:val="false"/>
          <w:sz w:val="20"/>
          <w:szCs w:val="20"/>
        </w:rPr>
        <w:t>Sentence Completion Test</w:t>
      </w:r>
      <w:r>
        <w:rPr>
          <w:rFonts w:ascii="Garamond" w:hAnsi="Garamond"/>
          <w:b w:val="false"/>
          <w:bCs w:val="false"/>
          <w:sz w:val="20"/>
          <w:szCs w:val="20"/>
        </w:rPr>
        <w:t>: typically gives subjects the first few words of sentences, referred to as "stems", and the subjects then finish the sentences in ways that are meaningful. The full sentences are held to provide insights into attitudes, beliefs, motivations, or emotional issues. These tests have shown some superiority over other instruments in uncovering conflicted attitudes. They can be either oral or written (Soley &amp; Smith, 2008) .</w:t>
      </w:r>
    </w:p>
    <w:p>
      <w:pPr>
        <w:pStyle w:val="SIWHd1"/>
        <w:tabs>
          <w:tab w:val="clear" w:pos="363"/>
          <w:tab w:val="left" w:pos="720" w:leader="none"/>
        </w:tabs>
        <w:ind w:left="0" w:right="180" w:hanging="0"/>
        <w:rPr>
          <w:rFonts w:ascii="Garamond" w:hAnsi="Garamond"/>
          <w:b w:val="false"/>
          <w:b w:val="false"/>
          <w:bCs w:val="false"/>
          <w:sz w:val="20"/>
          <w:szCs w:val="20"/>
        </w:rPr>
      </w:pPr>
      <w:r>
        <w:rPr>
          <w:rFonts w:ascii="Garamond" w:hAnsi="Garamond"/>
          <w:b w:val="false"/>
          <w:bCs w:val="false"/>
          <w:sz w:val="20"/>
          <w:szCs w:val="20"/>
        </w:rPr>
      </w:r>
    </w:p>
    <w:p>
      <w:pPr>
        <w:pStyle w:val="SIWHd1"/>
        <w:tabs>
          <w:tab w:val="clear" w:pos="363"/>
          <w:tab w:val="left" w:pos="720" w:leader="none"/>
        </w:tabs>
        <w:ind w:left="0" w:right="180" w:hanging="0"/>
        <w:rPr>
          <w:rFonts w:ascii="Garamond" w:hAnsi="Garamond"/>
        </w:rPr>
      </w:pPr>
      <w:r>
        <w:rPr>
          <w:rFonts w:ascii="Garamond" w:hAnsi="Garamond"/>
          <w:b w:val="false"/>
          <w:bCs w:val="false"/>
          <w:sz w:val="20"/>
          <w:szCs w:val="20"/>
        </w:rPr>
        <w:t xml:space="preserve">All of these tests produce the most meaningful insights into human behavior, strengths and weaknesses when administered by highly trained, uniquely disciplined and inherently empathetic evaluators.  This small group of people is not only rare, but is very expensive. This precludes a rational assessment of all incoming DoD personnel due to time, staffing, expense and availability constraints.  Early attempts at using computers in lieu of humans have not produced any record of success that was found after a due diligence search.  This paper holds that recent advances in </w:t>
      </w:r>
      <w:r>
        <w:rPr>
          <w:rFonts w:ascii="Garamond" w:hAnsi="Garamond"/>
          <w:b w:val="false"/>
          <w:bCs w:val="false"/>
          <w:sz w:val="20"/>
          <w:szCs w:val="20"/>
        </w:rPr>
        <w:t>V</w:t>
      </w:r>
      <w:r>
        <w:rPr>
          <w:rFonts w:ascii="Garamond" w:hAnsi="Garamond"/>
          <w:b w:val="false"/>
          <w:bCs w:val="false"/>
          <w:sz w:val="20"/>
          <w:szCs w:val="20"/>
        </w:rPr>
        <w:t>irtual Reality (VR), Augmented Reality (AR), Artificial Intelligence (A/)I and Deep Learning, as well as other components of XR, will enable the more multi-dimensional approach that will provide a more effective and economically viable solution.</w:t>
      </w:r>
    </w:p>
    <w:p>
      <w:pPr>
        <w:pStyle w:val="SIWHd1"/>
        <w:tabs>
          <w:tab w:val="clear" w:pos="363"/>
          <w:tab w:val="left" w:pos="720" w:leader="none"/>
        </w:tabs>
        <w:ind w:left="360" w:right="180" w:hanging="180"/>
        <w:rPr>
          <w:rFonts w:ascii="Garamond" w:hAnsi="Garamond"/>
          <w:b w:val="false"/>
          <w:b w:val="false"/>
          <w:bCs w:val="false"/>
          <w:sz w:val="20"/>
          <w:szCs w:val="20"/>
        </w:rPr>
      </w:pPr>
      <w:r>
        <w:rPr>
          <w:rFonts w:ascii="Garamond" w:hAnsi="Garamond"/>
          <w:b w:val="false"/>
          <w:bCs w:val="false"/>
          <w:sz w:val="20"/>
          <w:szCs w:val="20"/>
        </w:rPr>
      </w:r>
    </w:p>
    <w:p>
      <w:pPr>
        <w:pStyle w:val="SIWHd1"/>
        <w:spacing w:before="230" w:after="144"/>
        <w:ind w:left="0" w:right="0" w:hanging="0"/>
        <w:rPr>
          <w:rFonts w:ascii="Garamond" w:hAnsi="Garamond"/>
        </w:rPr>
      </w:pPr>
      <w:r>
        <w:rPr>
          <w:rFonts w:ascii="Garamond" w:hAnsi="Garamond"/>
        </w:rPr>
        <w:t>Projective Test Use Case Concept</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t xml:space="preserve">The goal of this use case is to provide an organizationally viable utility to enable the identification of both manifest and latent, emotional proclivities and psychopathologies of potential members, before </w:t>
      </w:r>
      <w:r>
        <w:rPr>
          <w:rFonts w:eastAsia="Times New Roman" w:cs="Times New Roman" w:ascii="Garamond" w:hAnsi="Garamond"/>
          <w:b w:val="false"/>
          <w:bCs w:val="false"/>
          <w:sz w:val="20"/>
          <w:szCs w:val="20"/>
        </w:rPr>
        <w:t>those characteristics</w:t>
      </w:r>
      <w:r>
        <w:rPr>
          <w:rFonts w:ascii="Garamond" w:hAnsi="Garamond"/>
          <w:b w:val="false"/>
          <w:bCs w:val="false"/>
          <w:sz w:val="20"/>
          <w:szCs w:val="20"/>
        </w:rPr>
        <w:t xml:space="preserve"> have negative impacts on the organization and the individuals involved. </w:t>
      </w:r>
      <w:r>
        <w:rPr>
          <w:rFonts w:ascii="Garamond" w:hAnsi="Garamond"/>
          <w:b w:val="false"/>
          <w:bCs w:val="false"/>
          <w:sz w:val="20"/>
          <w:szCs w:val="20"/>
        </w:rPr>
        <w:t>The emerging capabilities of XR seem likely to enhance a computer-generate alternative to in-person test administration that would be effective, economical, objective, self-correcting and mission-focused.</w:t>
      </w:r>
      <w:r>
        <w:rPr>
          <w:rFonts w:ascii="Garamond" w:hAnsi="Garamond"/>
          <w:b w:val="false"/>
          <w:bCs w:val="false"/>
          <w:sz w:val="20"/>
          <w:szCs w:val="20"/>
        </w:rPr>
        <w:t xml:space="preserve"> </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t xml:space="preserve">Two similar contexts will be used in this discussion, therapeutic settings in public school systems and accession evolutions in the US DoD. In both cases, large numbers of ostensibly stable  individuals present with no ostensible evidence of </w:t>
      </w:r>
      <w:r>
        <w:rPr>
          <w:rFonts w:ascii="Garamond" w:hAnsi="Garamond"/>
          <w:b w:val="false"/>
          <w:bCs w:val="false"/>
          <w:sz w:val="20"/>
          <w:szCs w:val="20"/>
        </w:rPr>
        <w:t xml:space="preserve">disruptive behavioral tendencies, the organizations involved are often understaffed, the personnel evaluating the individuals are not trained psychometricians, time of processing is critical and budget constraints preclude in-person administration and analysis of various diagnostic instruments. As a result of these factors </w:t>
      </w:r>
      <w:r>
        <w:rPr>
          <w:rFonts w:ascii="Garamond" w:hAnsi="Garamond"/>
          <w:b w:val="false"/>
          <w:bCs w:val="false"/>
          <w:sz w:val="20"/>
          <w:szCs w:val="20"/>
        </w:rPr>
        <w:t xml:space="preserve">create situations in which the lack of understanding of the emotional make-up of the individual all too often leads to inappropriate organizational </w:t>
      </w:r>
      <w:r>
        <w:rPr>
          <w:rFonts w:eastAsia="Times New Roman" w:cs="Times New Roman" w:ascii="Garamond" w:hAnsi="Garamond"/>
          <w:b w:val="false"/>
          <w:bCs w:val="false"/>
          <w:sz w:val="20"/>
          <w:szCs w:val="20"/>
        </w:rPr>
        <w:t>decisions, wasted resourses, personal frustration, loss of life and mission detriment.  Attempts to augment humans with computer solutions have been hampered by a range of inabilities to produce the necessary “humanness” to effectively use projective tests.</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t xml:space="preserve">The vision of an XR solution to this problem is to create an enhanced computer-generated environment for the administration of a range of projective tests, either in the pre-accession setting or upon presentation of a newly emerged personal/behavioral problem. These new capabilities would provide a way to test all </w:t>
      </w:r>
      <w:r>
        <w:rPr>
          <w:rFonts w:eastAsia="Times New Roman" w:cs="Times New Roman" w:ascii="Garamond" w:hAnsi="Garamond"/>
          <w:b w:val="false"/>
          <w:bCs w:val="false"/>
          <w:sz w:val="20"/>
          <w:szCs w:val="20"/>
        </w:rPr>
        <w:t>identified individuals</w:t>
      </w:r>
      <w:r>
        <w:rPr>
          <w:rFonts w:ascii="Garamond" w:hAnsi="Garamond"/>
          <w:b w:val="false"/>
          <w:bCs w:val="false"/>
          <w:sz w:val="20"/>
          <w:szCs w:val="20"/>
        </w:rPr>
        <w:t xml:space="preserve"> in order to </w:t>
      </w:r>
      <w:r>
        <w:rPr>
          <w:rFonts w:eastAsia="Times New Roman" w:cs="Times New Roman" w:ascii="Garamond" w:hAnsi="Garamond"/>
          <w:b w:val="false"/>
          <w:bCs w:val="false"/>
          <w:sz w:val="20"/>
          <w:szCs w:val="20"/>
        </w:rPr>
        <w:t>establish those with whom the organization can effectively engage</w:t>
      </w:r>
      <w:r>
        <w:rPr>
          <w:rFonts w:ascii="Garamond" w:hAnsi="Garamond"/>
          <w:b w:val="false"/>
          <w:bCs w:val="false"/>
          <w:sz w:val="20"/>
          <w:szCs w:val="20"/>
        </w:rPr>
        <w:t xml:space="preserve"> and to better </w:t>
      </w:r>
      <w:r>
        <w:rPr>
          <w:rFonts w:eastAsia="Times New Roman" w:cs="Times New Roman" w:ascii="Garamond" w:hAnsi="Garamond"/>
          <w:b w:val="false"/>
          <w:bCs w:val="false"/>
          <w:sz w:val="20"/>
          <w:szCs w:val="20"/>
        </w:rPr>
        <w:t>plan</w:t>
      </w:r>
      <w:r>
        <w:rPr>
          <w:rFonts w:ascii="Garamond" w:hAnsi="Garamond"/>
          <w:b w:val="false"/>
          <w:bCs w:val="false"/>
          <w:sz w:val="20"/>
          <w:szCs w:val="20"/>
        </w:rPr>
        <w:t xml:space="preserve"> and </w:t>
      </w:r>
      <w:r>
        <w:rPr>
          <w:rFonts w:eastAsia="Times New Roman" w:cs="Times New Roman" w:ascii="Garamond" w:hAnsi="Garamond"/>
          <w:b w:val="false"/>
          <w:bCs w:val="false"/>
          <w:sz w:val="20"/>
          <w:szCs w:val="20"/>
        </w:rPr>
        <w:t xml:space="preserve">monitor the organization/member </w:t>
      </w:r>
      <w:r>
        <w:rPr>
          <w:rFonts w:ascii="Garamond" w:hAnsi="Garamond"/>
          <w:b w:val="false"/>
          <w:bCs w:val="false"/>
          <w:sz w:val="20"/>
          <w:szCs w:val="20"/>
        </w:rPr>
        <w:t xml:space="preserve"> </w:t>
      </w:r>
      <w:r>
        <w:rPr>
          <w:rFonts w:eastAsia="Times New Roman" w:cs="Times New Roman" w:ascii="Garamond" w:hAnsi="Garamond"/>
          <w:b w:val="false"/>
          <w:bCs w:val="false"/>
          <w:sz w:val="20"/>
          <w:szCs w:val="20"/>
        </w:rPr>
        <w:t>interactions in the future.</w:t>
      </w:r>
      <w:r>
        <w:rPr>
          <w:rFonts w:ascii="Garamond" w:hAnsi="Garamond"/>
          <w:b w:val="false"/>
          <w:bCs w:val="false"/>
          <w:sz w:val="20"/>
          <w:szCs w:val="20"/>
        </w:rPr>
        <w:t xml:space="preserve"> </w:t>
      </w:r>
      <w:r>
        <w:rPr>
          <w:rFonts w:ascii="Garamond" w:hAnsi="Garamond"/>
          <w:b w:val="false"/>
          <w:bCs w:val="false"/>
          <w:sz w:val="20"/>
          <w:szCs w:val="20"/>
        </w:rPr>
        <w:t>In the thearapeutic context, that would mean finding the nature of the behavioral issues and identifying the optimal type of therapy and the cost/benefit to be expected.  In the DoD Accession context, this would entail administering the diagnostic tests to all accession, preferably before enlistment, to establish if unacceptable behavioral tendencies exist and to aid in more optimal training and assignment decisions.</w:t>
      </w:r>
    </w:p>
    <w:p>
      <w:pPr>
        <w:pStyle w:val="SIWHd1"/>
        <w:spacing w:before="230" w:after="144"/>
        <w:ind w:left="0" w:right="0" w:hanging="0"/>
        <w:rPr>
          <w:rFonts w:ascii="Garamond" w:hAnsi="Garamond"/>
        </w:rPr>
      </w:pPr>
      <w:r>
        <w:rPr>
          <w:rFonts w:ascii="Garamond" w:hAnsi="Garamond"/>
        </w:rPr>
        <w:t>Extensibility</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r>
    </w:p>
    <w:p>
      <w:pPr>
        <w:pStyle w:val="SIWHd1"/>
        <w:spacing w:before="230" w:after="144"/>
        <w:ind w:left="0" w:right="0" w:hanging="0"/>
        <w:rPr>
          <w:rFonts w:ascii="Garamond" w:hAnsi="Garamond"/>
        </w:rPr>
      </w:pPr>
      <w:r>
        <w:rPr>
          <w:rFonts w:ascii="Garamond" w:hAnsi="Garamond"/>
        </w:rPr>
        <w:t>Future Research</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r>
    </w:p>
    <w:p>
      <w:pPr>
        <w:pStyle w:val="SIWHd1"/>
        <w:spacing w:before="230" w:after="144"/>
        <w:ind w:left="0" w:right="0" w:hanging="0"/>
        <w:rPr>
          <w:rFonts w:ascii="Garamond" w:hAnsi="Garamond"/>
        </w:rPr>
      </w:pPr>
      <w:r>
        <w:rPr>
          <w:rFonts w:ascii="Garamond" w:hAnsi="Garamond"/>
        </w:rPr>
        <w:t>Metrics</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r>
    </w:p>
    <w:p>
      <w:pPr>
        <w:pStyle w:val="SIWHd1"/>
        <w:spacing w:before="230" w:after="144"/>
        <w:ind w:left="0" w:right="0" w:hanging="0"/>
        <w:rPr>
          <w:rFonts w:ascii="Garamond" w:hAnsi="Garamond"/>
        </w:rPr>
      </w:pPr>
      <w:r>
        <w:rPr>
          <w:rFonts w:ascii="Garamond" w:hAnsi="Garamond"/>
        </w:rPr>
        <w:t>Conclusory Remarks</w:t>
      </w:r>
    </w:p>
    <w:p>
      <w:pPr>
        <w:pStyle w:val="SIWHd1"/>
        <w:ind w:left="0" w:right="0" w:hanging="0"/>
        <w:rPr>
          <w:rFonts w:ascii="Garamond" w:hAnsi="Garamond"/>
          <w:b w:val="false"/>
          <w:b w:val="false"/>
          <w:bCs w:val="false"/>
          <w:sz w:val="20"/>
          <w:szCs w:val="20"/>
        </w:rPr>
      </w:pPr>
      <w:r>
        <w:rPr>
          <w:rFonts w:ascii="Garamond" w:hAnsi="Garamond"/>
          <w:b w:val="false"/>
          <w:bCs w:val="false"/>
          <w:sz w:val="20"/>
          <w:szCs w:val="20"/>
        </w:rPr>
      </w:r>
    </w:p>
    <w:p>
      <w:pPr>
        <w:pStyle w:val="SIWHd1"/>
        <w:spacing w:before="230" w:after="144"/>
        <w:ind w:left="0" w:right="0" w:hanging="0"/>
        <w:rPr>
          <w:rFonts w:ascii="Garamond" w:hAnsi="Garamond"/>
        </w:rPr>
      </w:pPr>
      <w:r>
        <w:rPr>
          <w:rFonts w:ascii="Garamond" w:hAnsi="Garamond"/>
        </w:rPr>
        <w:t>References</w:t>
      </w:r>
    </w:p>
    <w:p>
      <w:pPr>
        <w:pStyle w:val="SIWHd1"/>
        <w:ind w:left="360" w:right="449" w:hanging="180"/>
        <w:rPr>
          <w:rFonts w:ascii="Garamond" w:hAnsi="Garamond"/>
        </w:rPr>
      </w:pPr>
      <w:r>
        <w:rPr>
          <w:rFonts w:ascii="Garamond" w:hAnsi="Garamond"/>
          <w:b w:val="false"/>
          <w:bCs w:val="false"/>
          <w:sz w:val="18"/>
          <w:szCs w:val="18"/>
        </w:rPr>
        <w:t>Fusca, N. (2018). An Examination of the Utility of the Thematic Apperception Test in Determining Resilience (Doctoral dissertation, Carlow University).</w:t>
      </w:r>
    </w:p>
    <w:p>
      <w:pPr>
        <w:pStyle w:val="SIWHd1"/>
        <w:ind w:left="360" w:right="449" w:hanging="180"/>
        <w:rPr>
          <w:rFonts w:ascii="Garamond" w:hAnsi="Garamond"/>
        </w:rPr>
      </w:pPr>
      <w:r>
        <w:rPr>
          <w:rFonts w:ascii="Garamond" w:hAnsi="Garamond"/>
          <w:b w:val="false"/>
          <w:bCs w:val="false"/>
          <w:sz w:val="18"/>
          <w:szCs w:val="18"/>
        </w:rPr>
        <w:t xml:space="preserve">Machover, K. (1949). </w:t>
      </w:r>
      <w:r>
        <w:rPr>
          <w:rFonts w:ascii="Garamond" w:hAnsi="Garamond"/>
          <w:b w:val="false"/>
          <w:bCs w:val="false"/>
          <w:i/>
          <w:sz w:val="18"/>
          <w:szCs w:val="18"/>
        </w:rPr>
        <w:t>Personality projection: in the drawing of a human figure.</w:t>
      </w:r>
      <w:r>
        <w:rPr>
          <w:rFonts w:ascii="Garamond" w:hAnsi="Garamond"/>
          <w:b w:val="false"/>
          <w:bCs w:val="false"/>
          <w:sz w:val="18"/>
          <w:szCs w:val="18"/>
        </w:rPr>
        <w:t xml:space="preserve"> Charles C Thomas Publisher.</w:t>
      </w:r>
    </w:p>
    <w:p>
      <w:pPr>
        <w:pStyle w:val="SIWHd1"/>
        <w:ind w:left="360" w:right="449" w:hanging="180"/>
        <w:rPr>
          <w:rFonts w:ascii="Garamond" w:hAnsi="Garamond"/>
        </w:rPr>
      </w:pPr>
      <w:r>
        <w:rPr>
          <w:rFonts w:ascii="Garamond" w:hAnsi="Garamond"/>
          <w:b w:val="false"/>
          <w:bCs w:val="false"/>
          <w:sz w:val="18"/>
          <w:szCs w:val="18"/>
        </w:rPr>
        <w:t xml:space="preserve">Moore, H. G., &amp; Galloway, J. L. (2004). </w:t>
      </w:r>
      <w:r>
        <w:rPr>
          <w:rFonts w:ascii="Garamond" w:hAnsi="Garamond"/>
          <w:b w:val="false"/>
          <w:bCs w:val="false"/>
          <w:i/>
          <w:sz w:val="18"/>
          <w:szCs w:val="18"/>
        </w:rPr>
        <w:t>We were soldiers once... And young: Ia Drang-The battle that changed the war in Vietnam</w:t>
      </w:r>
      <w:r>
        <w:rPr>
          <w:rFonts w:ascii="Garamond" w:hAnsi="Garamond"/>
          <w:b w:val="false"/>
          <w:bCs w:val="false"/>
          <w:sz w:val="18"/>
          <w:szCs w:val="18"/>
        </w:rPr>
        <w:t xml:space="preserve">. Presidio Press. </w:t>
      </w:r>
    </w:p>
    <w:p>
      <w:pPr>
        <w:pStyle w:val="SIWHd1"/>
        <w:ind w:left="360" w:right="449" w:hanging="180"/>
        <w:rPr>
          <w:rFonts w:ascii="Garamond" w:hAnsi="Garamond"/>
        </w:rPr>
      </w:pPr>
      <w:r>
        <w:rPr>
          <w:rFonts w:ascii="Garamond" w:hAnsi="Garamond"/>
          <w:b w:val="false"/>
          <w:bCs w:val="false"/>
          <w:sz w:val="18"/>
          <w:szCs w:val="18"/>
        </w:rPr>
        <w:t xml:space="preserve">Nye, B.D., Davis, D.M., Rizvi, S.Z., Carr, K., Swartout, W., Thacker, R. &amp; Shaw, K. (2020). Feasibility and Usability of MentorPal, a Framework for rapid Development of virtual Mentors. </w:t>
      </w:r>
      <w:r>
        <w:rPr>
          <w:rFonts w:ascii="Garamond" w:hAnsi="Garamond"/>
          <w:b w:val="false"/>
          <w:bCs w:val="false"/>
          <w:i/>
          <w:iCs/>
          <w:sz w:val="18"/>
          <w:szCs w:val="18"/>
        </w:rPr>
        <w:t>Journal of Research on Technology in Education.</w:t>
      </w:r>
    </w:p>
    <w:p>
      <w:pPr>
        <w:pStyle w:val="SIWHd1"/>
        <w:ind w:left="360" w:right="449" w:hanging="180"/>
        <w:rPr>
          <w:rFonts w:ascii="Garamond" w:hAnsi="Garamond"/>
        </w:rPr>
      </w:pPr>
      <w:r>
        <w:rPr>
          <w:rFonts w:ascii="Garamond" w:hAnsi="Garamond"/>
          <w:b w:val="false"/>
          <w:bCs w:val="false"/>
          <w:sz w:val="18"/>
          <w:szCs w:val="18"/>
        </w:rPr>
        <w:t xml:space="preserve">Ross, T. P., Calhoun, E., Cox, T., Wenner, C., Kono, W., &amp; Pleasant, M. (2007). The reliability and validity of qualitative scores for the Controlled Oral Word Association Test. </w:t>
      </w:r>
      <w:r>
        <w:rPr>
          <w:rFonts w:ascii="Garamond" w:hAnsi="Garamond"/>
          <w:b w:val="false"/>
          <w:bCs w:val="false"/>
          <w:i/>
          <w:sz w:val="18"/>
          <w:szCs w:val="18"/>
        </w:rPr>
        <w:t>Archives of Clinical Neuropsychology</w:t>
      </w:r>
      <w:r>
        <w:rPr>
          <w:rFonts w:ascii="Garamond" w:hAnsi="Garamond"/>
          <w:b w:val="false"/>
          <w:bCs w:val="false"/>
          <w:sz w:val="18"/>
          <w:szCs w:val="18"/>
        </w:rPr>
        <w:t>, 22(4), 475-488.</w:t>
      </w:r>
    </w:p>
    <w:p>
      <w:pPr>
        <w:pStyle w:val="SIWHd1"/>
        <w:ind w:left="360" w:right="449" w:hanging="180"/>
        <w:rPr>
          <w:rFonts w:ascii="Garamond" w:hAnsi="Garamond"/>
        </w:rPr>
      </w:pPr>
      <w:r>
        <w:rPr>
          <w:rFonts w:ascii="Garamond" w:hAnsi="Garamond"/>
          <w:b w:val="false"/>
          <w:bCs w:val="false"/>
          <w:sz w:val="18"/>
          <w:szCs w:val="18"/>
        </w:rPr>
        <w:t xml:space="preserve">Soley, L.C. &amp; Smith, A.L. (2008). </w:t>
      </w:r>
      <w:r>
        <w:rPr>
          <w:rFonts w:ascii="Garamond" w:hAnsi="Garamond"/>
          <w:b w:val="false"/>
          <w:bCs w:val="false"/>
          <w:i/>
          <w:sz w:val="18"/>
          <w:szCs w:val="18"/>
        </w:rPr>
        <w:t>Projective Techniques for Social Science and Business Research</w:t>
      </w:r>
      <w:r>
        <w:rPr>
          <w:rFonts w:ascii="Garamond" w:hAnsi="Garamond"/>
          <w:b w:val="false"/>
          <w:bCs w:val="false"/>
          <w:sz w:val="18"/>
          <w:szCs w:val="18"/>
        </w:rPr>
        <w:t>. The Southshore Press.</w:t>
      </w:r>
    </w:p>
    <w:p>
      <w:pPr>
        <w:pStyle w:val="SIWHd1"/>
        <w:ind w:left="360" w:right="449" w:hanging="180"/>
        <w:rPr>
          <w:rFonts w:ascii="Garamond" w:hAnsi="Garamond"/>
        </w:rPr>
      </w:pPr>
      <w:r>
        <w:rPr>
          <w:rFonts w:ascii="Garamond" w:hAnsi="Garamond"/>
          <w:b w:val="false"/>
          <w:bCs w:val="false"/>
          <w:sz w:val="18"/>
          <w:szCs w:val="18"/>
        </w:rPr>
        <w:t xml:space="preserve">Wikipedia. (2021). </w:t>
      </w:r>
      <w:r>
        <w:rPr>
          <w:rFonts w:ascii="Garamond" w:hAnsi="Garamond"/>
          <w:b w:val="false"/>
          <w:bCs w:val="false"/>
          <w:i/>
          <w:sz w:val="18"/>
          <w:szCs w:val="18"/>
        </w:rPr>
        <w:t>Rorschach test: Inkblots</w:t>
      </w:r>
      <w:r>
        <w:rPr>
          <w:rFonts w:ascii="Garamond" w:hAnsi="Garamond"/>
          <w:b w:val="false"/>
          <w:bCs w:val="false"/>
          <w:sz w:val="18"/>
          <w:szCs w:val="18"/>
        </w:rPr>
        <w:t>, recovered from the web 07 November 2021 from the Wikipedia web site at: https://en.wikipedia.org/wiki/Rorschach_test#Inkblots</w:t>
      </w:r>
    </w:p>
    <w:p>
      <w:pPr>
        <w:pStyle w:val="SIWHd1"/>
        <w:ind w:left="360" w:right="449" w:hanging="180"/>
        <w:rPr>
          <w:rFonts w:ascii="Garamond" w:hAnsi="Garamond"/>
          <w:sz w:val="18"/>
          <w:szCs w:val="18"/>
        </w:rPr>
      </w:pPr>
      <w:r>
        <w:rPr>
          <w:rFonts w:ascii="Garamond" w:hAnsi="Garamond"/>
          <w:sz w:val="18"/>
          <w:szCs w:val="18"/>
        </w:rPr>
      </w:r>
    </w:p>
    <w:p>
      <w:pPr>
        <w:pStyle w:val="SIWHd1"/>
        <w:ind w:left="360" w:right="449" w:hanging="180"/>
        <w:rPr>
          <w:rFonts w:ascii="Garamond" w:hAnsi="Garamond"/>
          <w:sz w:val="18"/>
          <w:szCs w:val="18"/>
        </w:rPr>
      </w:pPr>
      <w:r>
        <w:rPr>
          <w:rFonts w:ascii="Garamond" w:hAnsi="Garamond"/>
          <w:sz w:val="18"/>
          <w:szCs w:val="18"/>
        </w:rPr>
      </w:r>
    </w:p>
    <w:p>
      <w:pPr>
        <w:pStyle w:val="SIWHd1"/>
        <w:ind w:left="0" w:right="0" w:hanging="0"/>
        <w:rPr>
          <w:rFonts w:ascii="Garamond" w:hAnsi="Garamond"/>
        </w:rPr>
      </w:pPr>
      <w:r>
        <w:rPr>
          <w:rFonts w:ascii="Garamond" w:hAnsi="Garamond"/>
        </w:rPr>
      </w:r>
    </w:p>
    <w:p>
      <w:pPr>
        <w:pStyle w:val="SIWHd1"/>
        <w:ind w:left="0" w:right="0" w:hanging="0"/>
        <w:rPr/>
      </w:pPr>
      <w:r>
        <w:rPr>
          <w:rStyle w:val="SIWAbstrChar"/>
          <w:rFonts w:ascii="Garamond" w:hAnsi="Garamond"/>
          <w:i w:val="false"/>
          <w:caps/>
        </w:rPr>
        <w:t xml:space="preserve">Dan M. Davis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p>
      <w:pPr>
        <w:pStyle w:val="SIWHd1"/>
        <w:ind w:left="0" w:right="0" w:hanging="0"/>
        <w:rPr>
          <w:rFonts w:ascii="Garamond" w:hAnsi="Garamond"/>
        </w:rPr>
      </w:pPr>
      <w:r>
        <w:rPr>
          <w:rFonts w:ascii="Garamond" w:hAnsi="Garamond"/>
        </w:rPr>
      </w:r>
    </w:p>
    <w:p>
      <w:pPr>
        <w:pStyle w:val="SIWHd1"/>
        <w:ind w:left="0" w:right="0" w:hanging="0"/>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sectPr>
      <w:headerReference w:type="default" r:id="rId7"/>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 w:name="Garamon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XR Study Group Use Case Whitepaper - XR to Enhance Projective Diagnostic Tests for Therapists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eastAsiaTheme="minorEastAsia" w:cs=""/>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sid w:val="004140b6"/>
    <w:rPr>
      <w:color w:val="000080"/>
      <w:u w:val="single"/>
    </w:rPr>
  </w:style>
  <w:style w:type="character" w:styleId="Ins" w:customStyle="1">
    <w:name w:val="ins"/>
    <w:qFormat/>
    <w:rsid w:val="004140b6"/>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davis@acm.org" TargetMode="External"/><Relationship Id="rId3" Type="http://schemas.openxmlformats.org/officeDocument/2006/relationships/hyperlink" Target="mailto:stately07@dslextreme.com"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714F6-6BD3-4995-BFB6-2B7A035F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LibreOffice/7.1.5.2$Windows_X86_64 LibreOffice_project/85f04e9f809797b8199d13c421bd8a2b025d52b5</Application>
  <AppVersion>15.0000</AppVersion>
  <Pages>4</Pages>
  <Words>2652</Words>
  <Characters>14491</Characters>
  <CharactersWithSpaces>17122</CharactersWithSpaces>
  <Paragraphs>43</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2021-11-07T22:45:00Z</dcterms:created>
  <dc:creator>USC/ISI</dc:creator>
  <dc:description/>
  <dc:language>en-US</dc:language>
  <cp:lastModifiedBy/>
  <cp:lastPrinted>2021-11-02T01:47:00Z</cp:lastPrinted>
  <dcterms:modified xsi:type="dcterms:W3CDTF">2021-11-08T05:46:11Z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