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79" w:rsidRDefault="00016D86">
      <w:pPr>
        <w:pStyle w:val="S-AuthAdd"/>
        <w:rPr>
          <w:rFonts w:cstheme="minorBidi"/>
          <w:b/>
          <w:color w:val="auto"/>
          <w:sz w:val="28"/>
          <w:szCs w:val="28"/>
        </w:rPr>
      </w:pPr>
      <w:r>
        <w:rPr>
          <w:rFonts w:cstheme="minorBidi"/>
          <w:b/>
          <w:color w:val="auto"/>
          <w:sz w:val="28"/>
          <w:szCs w:val="28"/>
        </w:rPr>
        <w:t xml:space="preserve"> </w:t>
      </w:r>
    </w:p>
    <w:p w:rsidR="00682979" w:rsidRDefault="00016D86">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682979" w:rsidRDefault="00682979">
      <w:pPr>
        <w:pStyle w:val="S-AuthAdd"/>
        <w:rPr>
          <w:rFonts w:ascii="Garamond" w:hAnsi="Garamond"/>
        </w:rPr>
      </w:pPr>
    </w:p>
    <w:p w:rsidR="00682979" w:rsidRDefault="00016D86">
      <w:pPr>
        <w:jc w:val="center"/>
        <w:rPr>
          <w:rFonts w:ascii="Garamond" w:hAnsi="Garamond"/>
        </w:rPr>
      </w:pPr>
      <w:r>
        <w:rPr>
          <w:rFonts w:ascii="Garamond" w:hAnsi="Garamond"/>
          <w:i/>
          <w:sz w:val="22"/>
        </w:rPr>
        <w:t>Dan M. Davis &amp; Judith L. Jacobus</w:t>
      </w:r>
    </w:p>
    <w:p w:rsidR="00682979" w:rsidRDefault="00016D86">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682979" w:rsidRDefault="00A53BF6">
      <w:pPr>
        <w:pStyle w:val="S-AuthAdd"/>
      </w:pPr>
      <w:hyperlink r:id="rId8">
        <w:r w:rsidR="00016D86">
          <w:rPr>
            <w:rStyle w:val="Hyperlink1"/>
            <w:rFonts w:ascii="Garamond" w:hAnsi="Garamond"/>
          </w:rPr>
          <w:t>dmdavis@acm.org</w:t>
        </w:r>
      </w:hyperlink>
      <w:r w:rsidR="00016D86">
        <w:rPr>
          <w:rFonts w:ascii="Garamond" w:hAnsi="Garamond"/>
        </w:rPr>
        <w:t xml:space="preserve"> &amp;</w:t>
      </w:r>
      <w:r w:rsidR="00016D86">
        <w:rPr>
          <w:rFonts w:ascii="Garamond" w:hAnsi="Garamond"/>
        </w:rPr>
        <w:br/>
      </w:r>
      <w:hyperlink r:id="rId9">
        <w:r w:rsidR="00016D86">
          <w:rPr>
            <w:rStyle w:val="Hyperlink1"/>
            <w:rFonts w:ascii="Garamond" w:hAnsi="Garamond"/>
          </w:rPr>
          <w:t>stately07@dslextreme.com</w:t>
        </w:r>
      </w:hyperlink>
      <w:r w:rsidR="00016D86">
        <w:rPr>
          <w:rFonts w:ascii="Garamond" w:hAnsi="Garamond"/>
        </w:rPr>
        <w:t xml:space="preserve"> </w:t>
      </w:r>
    </w:p>
    <w:p w:rsidR="00682979" w:rsidRDefault="00682979">
      <w:pPr>
        <w:pStyle w:val="S-AuthAdd"/>
        <w:rPr>
          <w:rFonts w:ascii="Garamond" w:hAnsi="Garamond"/>
        </w:rPr>
      </w:pPr>
    </w:p>
    <w:p w:rsidR="00682979" w:rsidRDefault="00682979">
      <w:pPr>
        <w:pStyle w:val="S-AuthAdd"/>
        <w:rPr>
          <w:rFonts w:ascii="Garamond" w:hAnsi="Garamond"/>
        </w:rPr>
      </w:pPr>
    </w:p>
    <w:p w:rsidR="00682979" w:rsidRDefault="00016D86">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rsidR="00682979" w:rsidRDefault="00682979">
      <w:pPr>
        <w:pStyle w:val="SIW-Hd-1"/>
        <w:ind w:left="0" w:right="0"/>
        <w:rPr>
          <w:rFonts w:ascii="Garamond" w:hAnsi="Garamond"/>
        </w:rPr>
      </w:pPr>
    </w:p>
    <w:p w:rsidR="00682979" w:rsidRDefault="00016D86">
      <w:pPr>
        <w:pStyle w:val="SIW-Hd-1"/>
        <w:spacing w:before="72" w:after="144"/>
        <w:ind w:left="0" w:right="0"/>
        <w:rPr>
          <w:rFonts w:ascii="Garamond" w:hAnsi="Garamond"/>
        </w:rPr>
      </w:pPr>
      <w:r>
        <w:rPr>
          <w:rFonts w:ascii="Garamond" w:hAnsi="Garamond"/>
        </w:rPr>
        <w:t>Introduction</w:t>
      </w:r>
    </w:p>
    <w:p w:rsidR="00682979" w:rsidRDefault="00016D86">
      <w:pPr>
        <w:pStyle w:val="SIW-Hd-1"/>
        <w:ind w:left="0" w:right="0"/>
        <w:rPr>
          <w:rFonts w:ascii="Garamond" w:hAnsi="Garamond"/>
        </w:rPr>
      </w:pPr>
      <w:r>
        <w:rPr>
          <w:rFonts w:ascii="Garamond" w:hAnsi="Garamond"/>
          <w:b w:val="0"/>
          <w:bCs w:val="0"/>
          <w:sz w:val="20"/>
          <w:szCs w:val="20"/>
        </w:rPr>
        <w:t>The DoD is like most other large organizations in that its workforce is extensive and varied along a number of dimensions, including that of emotional stability and potential pathology. Constrained budgets, reduced staffing levels and accelerated operations schedules all exacerbate the negative impacts of undetected problems and make poor use of misidentified capabilities. The behavioral sciences have developed a set of accepted evaluation instruments that have shown utility in addressing these issues, but they a time consuming, expensive, and often too subjective to be administered in person. The emergence of XR capabilities and extensions of it show promise in the amelioration of this deficit in personnel evaluation. There are needs and opportunities to be considered in this case and the paper will initiate and further that process.</w:t>
      </w:r>
    </w:p>
    <w:p w:rsidR="00682979" w:rsidRDefault="00016D86">
      <w:pPr>
        <w:pStyle w:val="SIW-Hd-1"/>
        <w:spacing w:before="259" w:after="144"/>
        <w:ind w:left="0" w:right="0"/>
        <w:rPr>
          <w:rFonts w:ascii="Garamond" w:hAnsi="Garamond"/>
        </w:rPr>
      </w:pPr>
      <w:r>
        <w:rPr>
          <w:rFonts w:ascii="Garamond" w:hAnsi="Garamond"/>
        </w:rPr>
        <w:t>Background</w:t>
      </w:r>
    </w:p>
    <w:p w:rsidR="00682979" w:rsidRDefault="00016D86">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Most of the emotional variables in DoD Personnel are not disabling; some are 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 xml:space="preserve">data analytics endeavors profit from an almost OCD (Obsessive Compulsive Disorder) personality. However, usefully identifying and quantifying emotional profiles is not easy, reliable or inexpensive. These characteristics are not addressed by the ASVAB (Armed Services Vocational Aptitude Battery) which tests for aptitude, not for interest and motivation. 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 requiring such a change in duties. When a person invest months or years in difficult training and then finds out they are unsuited to the task assigned it must have a negative impact on the human ego. Two anecdotal examples come to mind. One was a young Marine enlisted man who trained for more than half a year to become a Morse Intercept Operator, only to find that when assigned to a post in Vietnam, the pressure of performing in an operational setting completely disabled him from performing at any productive level. The command’s response was to assign him to the more mundane, but vital, task of typing endless teletype reports in a calmer office setting instead of the tumult of a combat zone radio intercept bay. A second would be the report by General </w:t>
      </w:r>
      <w:r>
        <w:rPr>
          <w:rFonts w:ascii="Garamond" w:hAnsi="Garamond"/>
          <w:b w:val="0"/>
          <w:bCs w:val="0"/>
          <w:sz w:val="20"/>
          <w:szCs w:val="20"/>
        </w:rPr>
        <w:lastRenderedPageBreak/>
        <w:t xml:space="preserve">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position covering a flank of the unit's position and emplaced his weapon, only to find his assistant gunner was no longer with him. The Gunner assumed his buddy had been shot by an AK-47 or had been wounded by incoming RPG or 82 mm mortar rounds. Later he was to find out that his A-Gunner had become so traumatized by the sight of the wounded that he had gotten back on the helicopter with the dead and wounded being evacuated and resisted physical attempts to make him disembark. As the wounded were in need of immediate evacuation and the helicopter was taking rifle rounds in the fuselage, the pilot could not wait and took off. When the helicopter got back to base, the man was still in emotional shock and required sedation. He was transferred back to the US and discharged as unfit (Moore &amp; Galloway, 2004) . This was a waste of training, a failure of a vital personnel component in a combat setting and, no doubt, a destructive event in the personal life of the soldier. Both of these unfortunate, wasteful and even dangerously mistaken placements could have been avoided if efficacious diagnostic testing had been available to enable a more appropriate and less destructive assignment for both young men.</w:t>
      </w:r>
    </w:p>
    <w:p w:rsidR="00CD1398" w:rsidRPr="00F554F6" w:rsidRDefault="00CD1398">
      <w:pPr>
        <w:pStyle w:val="SIW-Hd-1"/>
        <w:spacing w:before="230" w:after="144"/>
        <w:ind w:left="0" w:right="0"/>
        <w:rPr>
          <w:rFonts w:ascii="Garamond" w:hAnsi="Garamond"/>
          <w:color w:val="FF0000"/>
        </w:rPr>
      </w:pPr>
      <w:r w:rsidRPr="00F554F6">
        <w:rPr>
          <w:rFonts w:ascii="Garamond" w:hAnsi="Garamond"/>
          <w:b w:val="0"/>
          <w:bCs w:val="0"/>
          <w:color w:val="FF0000"/>
          <w:sz w:val="20"/>
          <w:szCs w:val="20"/>
        </w:rPr>
        <w:t>OFFER FOR JUDIE: if you were of a mood to do so, here is where you could write a paragraph answering t</w:t>
      </w:r>
      <w:r w:rsidR="00F554F6">
        <w:rPr>
          <w:rFonts w:ascii="Garamond" w:hAnsi="Garamond"/>
          <w:b w:val="0"/>
          <w:bCs w:val="0"/>
          <w:color w:val="FF0000"/>
          <w:sz w:val="20"/>
          <w:szCs w:val="20"/>
        </w:rPr>
        <w:t>he following questions:  Does a</w:t>
      </w:r>
      <w:r w:rsidRPr="00F554F6">
        <w:rPr>
          <w:rFonts w:ascii="Garamond" w:hAnsi="Garamond"/>
          <w:b w:val="0"/>
          <w:bCs w:val="0"/>
          <w:color w:val="FF0000"/>
          <w:sz w:val="20"/>
          <w:szCs w:val="20"/>
        </w:rPr>
        <w:t xml:space="preserve"> public school teacher encounter issues of emotional instability?  Does a public school Speech </w:t>
      </w:r>
      <w:r w:rsidR="00F554F6" w:rsidRPr="00F554F6">
        <w:rPr>
          <w:rFonts w:ascii="Garamond" w:hAnsi="Garamond"/>
          <w:b w:val="0"/>
          <w:bCs w:val="0"/>
          <w:color w:val="FF0000"/>
          <w:sz w:val="20"/>
          <w:szCs w:val="20"/>
        </w:rPr>
        <w:t>Therapist</w:t>
      </w:r>
      <w:r w:rsidRPr="00F554F6">
        <w:rPr>
          <w:rFonts w:ascii="Garamond" w:hAnsi="Garamond"/>
          <w:b w:val="0"/>
          <w:bCs w:val="0"/>
          <w:color w:val="FF0000"/>
          <w:sz w:val="20"/>
          <w:szCs w:val="20"/>
        </w:rPr>
        <w:t xml:space="preserve"> encounter issues of emotional instability?  Are some speech disorders related to underlying emotional pathologies?</w:t>
      </w:r>
      <w:r w:rsidR="00F554F6" w:rsidRPr="00F554F6">
        <w:rPr>
          <w:rFonts w:ascii="Garamond" w:hAnsi="Garamond"/>
          <w:b w:val="0"/>
          <w:bCs w:val="0"/>
          <w:color w:val="FF0000"/>
          <w:sz w:val="20"/>
          <w:szCs w:val="20"/>
        </w:rPr>
        <w:t xml:space="preserve"> Are public schools funded to adequately test all people who need diagnostic evaluation?  Are there </w:t>
      </w:r>
      <w:r w:rsidR="004D3CD1">
        <w:rPr>
          <w:rFonts w:ascii="Garamond" w:hAnsi="Garamond"/>
          <w:b w:val="0"/>
          <w:bCs w:val="0"/>
          <w:color w:val="FF0000"/>
          <w:sz w:val="20"/>
          <w:szCs w:val="20"/>
        </w:rPr>
        <w:t xml:space="preserve">current </w:t>
      </w:r>
      <w:r w:rsidR="00F554F6" w:rsidRPr="00F554F6">
        <w:rPr>
          <w:rFonts w:ascii="Garamond" w:hAnsi="Garamond"/>
          <w:b w:val="0"/>
          <w:bCs w:val="0"/>
          <w:color w:val="FF0000"/>
          <w:sz w:val="20"/>
          <w:szCs w:val="20"/>
        </w:rPr>
        <w:t>barriers</w:t>
      </w:r>
      <w:r w:rsidR="004D3CD1">
        <w:rPr>
          <w:rFonts w:ascii="Garamond" w:hAnsi="Garamond"/>
          <w:b w:val="0"/>
          <w:bCs w:val="0"/>
          <w:color w:val="FF0000"/>
          <w:sz w:val="20"/>
          <w:szCs w:val="20"/>
        </w:rPr>
        <w:t xml:space="preserve"> in  public </w:t>
      </w:r>
      <w:proofErr w:type="spellStart"/>
      <w:r w:rsidR="004D3CD1">
        <w:rPr>
          <w:rFonts w:ascii="Garamond" w:hAnsi="Garamond"/>
          <w:b w:val="0"/>
          <w:bCs w:val="0"/>
          <w:color w:val="FF0000"/>
          <w:sz w:val="20"/>
          <w:szCs w:val="20"/>
        </w:rPr>
        <w:t>shcools</w:t>
      </w:r>
      <w:proofErr w:type="spellEnd"/>
      <w:r w:rsidR="00F554F6" w:rsidRPr="00F554F6">
        <w:rPr>
          <w:rFonts w:ascii="Garamond" w:hAnsi="Garamond"/>
          <w:b w:val="0"/>
          <w:bCs w:val="0"/>
          <w:color w:val="FF0000"/>
          <w:sz w:val="20"/>
          <w:szCs w:val="20"/>
        </w:rPr>
        <w:t xml:space="preserve"> </w:t>
      </w:r>
      <w:r w:rsidR="004D3CD1">
        <w:rPr>
          <w:rFonts w:ascii="Garamond" w:hAnsi="Garamond"/>
          <w:b w:val="0"/>
          <w:bCs w:val="0"/>
          <w:color w:val="FF0000"/>
          <w:sz w:val="20"/>
          <w:szCs w:val="20"/>
        </w:rPr>
        <w:t>where</w:t>
      </w:r>
      <w:r w:rsidR="00F554F6" w:rsidRPr="00F554F6">
        <w:rPr>
          <w:rFonts w:ascii="Garamond" w:hAnsi="Garamond"/>
          <w:b w:val="0"/>
          <w:bCs w:val="0"/>
          <w:color w:val="FF0000"/>
          <w:sz w:val="20"/>
          <w:szCs w:val="20"/>
        </w:rPr>
        <w:t xml:space="preserve"> a computer</w:t>
      </w:r>
      <w:r w:rsidR="004D3CD1">
        <w:rPr>
          <w:rFonts w:ascii="Garamond" w:hAnsi="Garamond"/>
          <w:b w:val="0"/>
          <w:bCs w:val="0"/>
          <w:color w:val="FF0000"/>
          <w:sz w:val="20"/>
          <w:szCs w:val="20"/>
        </w:rPr>
        <w:t>-</w:t>
      </w:r>
      <w:r w:rsidR="00F554F6" w:rsidRPr="00F554F6">
        <w:rPr>
          <w:rFonts w:ascii="Garamond" w:hAnsi="Garamond"/>
          <w:b w:val="0"/>
          <w:bCs w:val="0"/>
          <w:color w:val="FF0000"/>
          <w:sz w:val="20"/>
          <w:szCs w:val="20"/>
        </w:rPr>
        <w:t>generated evaluation might be more optimal? Do you have an anecdote about an emotional issue that could have been better resolved had you had easy access to diagnostic testing?</w:t>
      </w:r>
    </w:p>
    <w:p w:rsidR="00682979" w:rsidRDefault="00016D86">
      <w:pPr>
        <w:pStyle w:val="SIW-Hd-1"/>
        <w:ind w:left="0" w:right="180"/>
        <w:rPr>
          <w:rFonts w:ascii="Garamond" w:hAnsi="Garamond"/>
        </w:rPr>
      </w:pPr>
      <w:r>
        <w:rPr>
          <w:rFonts w:ascii="Garamond" w:hAnsi="Garamond"/>
          <w:b w:val="0"/>
          <w:bCs w:val="0"/>
          <w:sz w:val="20"/>
          <w:szCs w:val="20"/>
        </w:rPr>
        <w:t xml:space="preserve">Projective tests are an accepted and often utilized method of detecting otherwise unnoticed personality characteristics of importance. Examples o these test that are familiar to the educated public are the Rorschach Ink-blot Test, the Thematic Apperception Test, the Word Association Test, the Draw-a-Man Test and the Sentence Completion Test. They all rely to some degree on the Freudian insight that many people have underlying issues that are both unknown to the person and hidden from the evaluator. Practitioners and therapist find them useful in day-to-day evaluation and therapy.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Multiplicand Personality Inventory (MMPI), these tests are administered in person and much of their utility relies on the sensitive observation by the professional of a range of characteristics of the person being evaluated: verbal content, voice quality, facial expression, body language and pace of response. There is a requisite give-and-take between the person being evaluated and the supportive administrator of the test.</w:t>
      </w:r>
    </w:p>
    <w:p w:rsidR="00682979" w:rsidRDefault="00A53BF6">
      <w:pPr>
        <w:pStyle w:val="SIW-Hd-1"/>
        <w:ind w:left="0" w:right="180"/>
        <w:rPr>
          <w:rFonts w:ascii="Garamond" w:hAnsi="Garamond"/>
          <w:b w:val="0"/>
          <w:bCs w:val="0"/>
          <w:sz w:val="20"/>
          <w:szCs w:val="20"/>
        </w:rPr>
      </w:pPr>
      <w:r w:rsidRPr="00A53BF6">
        <w:pict>
          <v:rect id="_x0000_s1026" style="position:absolute;left:0;text-align:left;margin-left:287.05pt;margin-top:8.5pt;width:197pt;height:346.05pt;z-index:251657728" stroked="f" strokeweight="0">
            <v:textbox>
              <w:txbxContent>
                <w:p w:rsidR="00682979" w:rsidRDefault="00016D86">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682979" w:rsidRDefault="00016D86">
                  <w:pPr>
                    <w:pStyle w:val="Caption"/>
                    <w:spacing w:after="160"/>
                    <w:jc w:val="center"/>
                    <w:rPr>
                      <w:color w:val="auto"/>
                    </w:rPr>
                  </w:pPr>
                  <w:r>
                    <w:rPr>
                      <w:color w:val="auto"/>
                    </w:rPr>
                    <w:t xml:space="preserve">Figure </w:t>
                  </w:r>
                  <w:r w:rsidR="00A53BF6">
                    <w:rPr>
                      <w:color w:val="auto"/>
                    </w:rPr>
                    <w:fldChar w:fldCharType="begin"/>
                  </w:r>
                  <w:r>
                    <w:rPr>
                      <w:color w:val="auto"/>
                    </w:rPr>
                    <w:instrText>SEQ Figure \* ARABIC</w:instrText>
                  </w:r>
                  <w:r w:rsidR="00A53BF6">
                    <w:rPr>
                      <w:color w:val="auto"/>
                    </w:rPr>
                    <w:fldChar w:fldCharType="separate"/>
                  </w:r>
                  <w:r w:rsidR="003457C5">
                    <w:rPr>
                      <w:noProof/>
                      <w:color w:val="auto"/>
                    </w:rPr>
                    <w:t>1</w:t>
                  </w:r>
                  <w:r w:rsidR="00A53BF6">
                    <w:rPr>
                      <w:color w:val="auto"/>
                    </w:rPr>
                    <w:fldChar w:fldCharType="end"/>
                  </w:r>
                  <w:r>
                    <w:rPr>
                      <w:color w:val="auto"/>
                    </w:rPr>
                    <w:t xml:space="preserve"> Rorschach Ink-blot (Wiki, 2021)</w:t>
                  </w:r>
                </w:p>
                <w:p w:rsidR="00682979" w:rsidRDefault="00016D86">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682979" w:rsidRDefault="00016D86">
                  <w:pPr>
                    <w:pStyle w:val="Caption"/>
                    <w:spacing w:after="160"/>
                    <w:jc w:val="center"/>
                    <w:rPr>
                      <w:color w:val="auto"/>
                    </w:rPr>
                  </w:pPr>
                  <w:r>
                    <w:rPr>
                      <w:color w:val="auto"/>
                    </w:rPr>
                    <w:t xml:space="preserve">Figure </w:t>
                  </w:r>
                  <w:r w:rsidR="00A53BF6">
                    <w:rPr>
                      <w:color w:val="auto"/>
                    </w:rPr>
                    <w:fldChar w:fldCharType="begin"/>
                  </w:r>
                  <w:r>
                    <w:rPr>
                      <w:color w:val="auto"/>
                    </w:rPr>
                    <w:instrText>SEQ Figure \* ARABIC</w:instrText>
                  </w:r>
                  <w:r w:rsidR="00A53BF6">
                    <w:rPr>
                      <w:color w:val="auto"/>
                    </w:rPr>
                    <w:fldChar w:fldCharType="separate"/>
                  </w:r>
                  <w:r w:rsidR="003457C5">
                    <w:rPr>
                      <w:noProof/>
                      <w:color w:val="auto"/>
                    </w:rPr>
                    <w:t>2</w:t>
                  </w:r>
                  <w:r w:rsidR="00A53BF6">
                    <w:rPr>
                      <w:color w:val="auto"/>
                    </w:rPr>
                    <w:fldChar w:fldCharType="end"/>
                  </w:r>
                  <w:r>
                    <w:rPr>
                      <w:color w:val="auto"/>
                    </w:rPr>
                    <w:t xml:space="preserve"> – Two Images from the TAT</w:t>
                  </w:r>
                </w:p>
                <w:p w:rsidR="00682979" w:rsidRDefault="00016D86">
                  <w:pPr>
                    <w:pStyle w:val="FrameContents"/>
                    <w:jc w:val="center"/>
                  </w:pPr>
                  <w:r>
                    <w:rPr>
                      <w:noProof/>
                    </w:rPr>
                    <w:drawing>
                      <wp:inline distT="0" distB="0" distL="0" distR="0">
                        <wp:extent cx="2118360" cy="983615"/>
                        <wp:effectExtent l="0" t="0" r="0" b="0"/>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118360" cy="983615"/>
                                </a:xfrm>
                                <a:prstGeom prst="rect">
                                  <a:avLst/>
                                </a:prstGeom>
                                <a:ln w="3175">
                                  <a:solidFill>
                                    <a:srgbClr val="000000"/>
                                  </a:solidFill>
                                </a:ln>
                              </pic:spPr>
                            </pic:pic>
                          </a:graphicData>
                        </a:graphic>
                      </wp:inline>
                    </w:drawing>
                  </w:r>
                </w:p>
                <w:p w:rsidR="00682979" w:rsidRDefault="00016D86">
                  <w:pPr>
                    <w:pStyle w:val="Caption"/>
                    <w:spacing w:after="160"/>
                    <w:jc w:val="center"/>
                    <w:rPr>
                      <w:color w:val="auto"/>
                      <w:spacing w:val="-10"/>
                    </w:rPr>
                  </w:pPr>
                  <w:r>
                    <w:rPr>
                      <w:color w:val="auto"/>
                      <w:spacing w:val="-10"/>
                    </w:rPr>
                    <w:t xml:space="preserve">Figure </w:t>
                  </w:r>
                  <w:r w:rsidR="00A53BF6">
                    <w:rPr>
                      <w:color w:val="auto"/>
                      <w:spacing w:val="-10"/>
                    </w:rPr>
                    <w:fldChar w:fldCharType="begin"/>
                  </w:r>
                  <w:r>
                    <w:rPr>
                      <w:color w:val="auto"/>
                      <w:spacing w:val="-10"/>
                    </w:rPr>
                    <w:instrText>SEQ Figure \* ARABIC</w:instrText>
                  </w:r>
                  <w:r w:rsidR="00A53BF6">
                    <w:rPr>
                      <w:color w:val="auto"/>
                      <w:spacing w:val="-10"/>
                    </w:rPr>
                    <w:fldChar w:fldCharType="separate"/>
                  </w:r>
                  <w:r w:rsidR="003457C5">
                    <w:rPr>
                      <w:noProof/>
                      <w:color w:val="auto"/>
                      <w:spacing w:val="-10"/>
                    </w:rPr>
                    <w:t>3</w:t>
                  </w:r>
                  <w:r w:rsidR="00A53BF6">
                    <w:rPr>
                      <w:color w:val="auto"/>
                      <w:spacing w:val="-10"/>
                    </w:rPr>
                    <w:fldChar w:fldCharType="end"/>
                  </w:r>
                  <w:r>
                    <w:rPr>
                      <w:color w:val="auto"/>
                      <w:spacing w:val="-10"/>
                    </w:rPr>
                    <w:t xml:space="preserve"> – Samples of the Draw-a-Child Test</w:t>
                  </w:r>
                </w:p>
              </w:txbxContent>
            </v:textbox>
            <w10:wrap type="square"/>
          </v:rect>
        </w:pict>
      </w:r>
    </w:p>
    <w:p w:rsidR="00682979" w:rsidRDefault="00016D86">
      <w:pPr>
        <w:pStyle w:val="SIW-Hd-1"/>
        <w:ind w:left="0" w:right="180"/>
        <w:rPr>
          <w:rFonts w:ascii="Garamond" w:hAnsi="Garamond"/>
        </w:rPr>
      </w:pPr>
      <w:r>
        <w:rPr>
          <w:rFonts w:ascii="Garamond" w:hAnsi="Garamond"/>
          <w:b w:val="0"/>
          <w:bCs w:val="0"/>
          <w:sz w:val="20"/>
          <w:szCs w:val="20"/>
        </w:rPr>
        <w:t>As a reminder of how these tests work and why a simple rendering of the test into an audio-video transcription of the instructions would fail, below is a quick survey of a few of the better known tests:</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xml:space="preserve">: the subject is shown a series of ink-blots (Figure 1), being careful that no affect is injected, and the subject is asked to describe them. The evaluator then applies a series of formal analytic criteria in assessing what that may say about the subject. </w:t>
      </w:r>
      <w:r>
        <w:rPr>
          <w:rFonts w:ascii="Garamond" w:hAnsi="Garamond"/>
          <w:b w:val="0"/>
          <w:sz w:val="20"/>
          <w:szCs w:val="20"/>
        </w:rPr>
        <w:t xml:space="preserve">The diminution of the subjectivity of this test would be a major focus of a computerized analysis of results. </w:t>
      </w:r>
    </w:p>
    <w:p w:rsidR="00682979" w:rsidRDefault="00016D86">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 a series of provocative, but ambiguous pictures, (Figure 2) about which the subject is asked to speculate. Then the subject is asked to tell a story about the picture, relating the back-story of the picture, what is happening, how the people are feeling, and what the outcome will be. The evaluator then subjectively attempts to gain insight into issues that may not be articulated by the subject, but are of continuing concern to them. (Fusca, 2018)</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xml:space="preserve">: the DAP was originally intended for children and is conducted by the evaluator's asking the person to complete three drawings: a man, a woman, and themselves (Figure 3). The results are slanted toward the intellectual abilities of the subject, </w:t>
      </w:r>
      <w:r>
        <w:rPr>
          <w:rFonts w:ascii="Garamond" w:hAnsi="Garamond"/>
          <w:b w:val="0"/>
          <w:bCs w:val="0"/>
          <w:sz w:val="20"/>
          <w:szCs w:val="20"/>
        </w:rPr>
        <w:lastRenderedPageBreak/>
        <w:t xml:space="preserve">but the DSP is known to reveal how the subjects react under pressure. Some of the depravities of the DAP may be of utility in a DoD setting without too much further work on adult metrics and evaluative procedures (Machover, 1949). Some of these are targeted on adolescents, a group often accessing into the DoD. </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Word Association Test</w:t>
      </w:r>
      <w:r>
        <w:rPr>
          <w:rFonts w:ascii="Garamond" w:hAnsi="Garamond"/>
          <w:b w:val="0"/>
          <w:bCs w:val="0"/>
          <w:sz w:val="20"/>
          <w:szCs w:val="20"/>
        </w:rPr>
        <w:t xml:space="preserve">: consists of around one hundred words that are read individually to a subject, who was put under time pressure to answer with the first word that occurs to them. The response was analyzed using the reaction time, verbal content and other behavior. One variant has the subject write a short meaningful sentence. The test can be used to diagnose psychopathologies. These tests are favored by the Freudians and Jungians.  (Ross, </w:t>
      </w:r>
      <w:r>
        <w:rPr>
          <w:rFonts w:ascii="Garamond" w:hAnsi="Garamond"/>
          <w:b w:val="0"/>
          <w:bCs w:val="0"/>
          <w:i/>
          <w:sz w:val="20"/>
          <w:szCs w:val="20"/>
        </w:rPr>
        <w:t>et al.</w:t>
      </w:r>
      <w:r>
        <w:rPr>
          <w:rFonts w:ascii="Garamond" w:hAnsi="Garamond"/>
          <w:b w:val="0"/>
          <w:bCs w:val="0"/>
          <w:sz w:val="20"/>
          <w:szCs w:val="20"/>
        </w:rPr>
        <w:t>, 2007)</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typically gives subjects the first few words of sentences, referred to as "stems", and the subjects then finish the sentences in ways that are meaningful. The full sentences are held to provide insights into attitudes, beliefs, motivations, or emotional issues. These tests have shown some superiority over other instruments in uncovering conflicted attitudes. They can be either oral or written (Soley &amp; Smith, 2008) .</w:t>
      </w:r>
    </w:p>
    <w:p w:rsidR="00682979" w:rsidRDefault="00682979">
      <w:pPr>
        <w:pStyle w:val="SIW-Hd-1"/>
        <w:tabs>
          <w:tab w:val="clear" w:pos="363"/>
          <w:tab w:val="left" w:pos="720"/>
        </w:tabs>
        <w:ind w:left="0" w:right="180"/>
        <w:rPr>
          <w:rFonts w:ascii="Garamond" w:hAnsi="Garamond"/>
          <w:b w:val="0"/>
          <w:bCs w:val="0"/>
          <w:sz w:val="20"/>
          <w:szCs w:val="20"/>
        </w:rPr>
      </w:pPr>
    </w:p>
    <w:p w:rsidR="00682979" w:rsidRDefault="00016D86">
      <w:pPr>
        <w:pStyle w:val="SIW-Hd-1"/>
        <w:tabs>
          <w:tab w:val="clear" w:pos="363"/>
          <w:tab w:val="left" w:pos="720"/>
        </w:tabs>
        <w:ind w:left="0" w:right="180"/>
        <w:rPr>
          <w:rFonts w:ascii="Garamond" w:hAnsi="Garamond"/>
        </w:rPr>
      </w:pPr>
      <w:r>
        <w:rPr>
          <w:rFonts w:ascii="Garamond" w:hAnsi="Garamond"/>
          <w:b w:val="0"/>
          <w:bCs w:val="0"/>
          <w:sz w:val="20"/>
          <w:szCs w:val="20"/>
        </w:rPr>
        <w:t>All of these tests produce the most meaningful insights into human behavior, strengths and weaknesses when administered by highly trained, uniquely disciplined and inherently empathetic evaluators.  This small group of people is not only rare, but is very expensive. This precludes a rational assessment of all incoming DoD personnel due to time, staffing, expense and availability constraints.  Early attempts at using computers in lieu of humans have not produced any record of success that was found after a due diligence search.  This paper holds that recent advances in Virtual Reality (VR), Augmented Reality (AR), Artificial Intelligence (A/)I and Deep Learning, as well as other components of XR, will enable the more multi-dimensional approach that will provide a more effective and economically viable solution.</w:t>
      </w:r>
    </w:p>
    <w:p w:rsidR="00682979" w:rsidRDefault="00016D86">
      <w:pPr>
        <w:pStyle w:val="SIW-Hd-1"/>
        <w:spacing w:before="230" w:after="144"/>
        <w:ind w:left="0" w:right="0"/>
        <w:rPr>
          <w:rFonts w:ascii="Garamond" w:hAnsi="Garamond"/>
        </w:rPr>
      </w:pPr>
      <w:r>
        <w:rPr>
          <w:rFonts w:ascii="Garamond" w:hAnsi="Garamond"/>
        </w:rPr>
        <w:t>Projective Test Use Case Concept</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 xml:space="preserve">The goal of this use case is to provide an organizationally viable utility to enable the identification of both manifest and latent, emotional proclivities and psychopathologies of potential members, before those characteristics have negative impacts on the organization and the individuals involved. The emerging capabilities of XR seem likely to enhance a computer-generate alternative to in-person test administration that would be effective, economical, objective, self-correcting and mission-focused. </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 xml:space="preserve">Two similar contexts will be used in this discussion, therapeutic settings in public school systems and accession evolutions in the US DoD. In both cases, large numbers of ostensibly stable  individuals present with no ostensible evidence of disruptive behavioral tendencies, the organizations involved are often understaffed, the personnel evaluating the individuals are not trained psychometricians, time of processing is critical and budget constraints preclude in-person administration and analysis of various diagnostic instruments. As a result of these factors create situations in which the lack of understanding of the emotional make-up of the individual all too often leads to inappropriate organizational decisions, wasted </w:t>
      </w:r>
      <w:proofErr w:type="spellStart"/>
      <w:r>
        <w:rPr>
          <w:rFonts w:ascii="Garamond" w:hAnsi="Garamond"/>
          <w:b w:val="0"/>
          <w:bCs w:val="0"/>
          <w:sz w:val="20"/>
          <w:szCs w:val="20"/>
        </w:rPr>
        <w:t>resourses</w:t>
      </w:r>
      <w:proofErr w:type="spellEnd"/>
      <w:r>
        <w:rPr>
          <w:rFonts w:ascii="Garamond" w:hAnsi="Garamond"/>
          <w:b w:val="0"/>
          <w:bCs w:val="0"/>
          <w:sz w:val="20"/>
          <w:szCs w:val="20"/>
        </w:rPr>
        <w:t xml:space="preserve">, </w:t>
      </w:r>
      <w:proofErr w:type="gramStart"/>
      <w:r>
        <w:rPr>
          <w:rFonts w:ascii="Garamond" w:hAnsi="Garamond"/>
          <w:b w:val="0"/>
          <w:bCs w:val="0"/>
          <w:sz w:val="20"/>
          <w:szCs w:val="20"/>
        </w:rPr>
        <w:t>personal</w:t>
      </w:r>
      <w:proofErr w:type="gramEnd"/>
      <w:r>
        <w:rPr>
          <w:rFonts w:ascii="Garamond" w:hAnsi="Garamond"/>
          <w:b w:val="0"/>
          <w:bCs w:val="0"/>
          <w:sz w:val="20"/>
          <w:szCs w:val="20"/>
        </w:rPr>
        <w:t xml:space="preserve"> frustration, loss of life and mission detriment.  Attempts to augment humans with computer solutions have been hampered by a range of inabilities to produce the necessary “humanness” to effectively use projective tests.</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 xml:space="preserve">The vision of an XR solution to this problem is to create an enhanced computer-generated environment for the administration of a range of projective tests, either in the pre-accession setting or upon presentation of a newly emerged personal/behavioral problem. These new capabilities would provide a way to test all identified individuals in order to establish those with whom the organization can effectively engage and to better plan and monitor the organization/member  interactions in the future. In the </w:t>
      </w:r>
      <w:r w:rsidR="00364417">
        <w:rPr>
          <w:rFonts w:ascii="Garamond" w:hAnsi="Garamond"/>
          <w:b w:val="0"/>
          <w:bCs w:val="0"/>
          <w:sz w:val="20"/>
          <w:szCs w:val="20"/>
        </w:rPr>
        <w:t>therapeutic</w:t>
      </w:r>
      <w:r>
        <w:rPr>
          <w:rFonts w:ascii="Garamond" w:hAnsi="Garamond"/>
          <w:b w:val="0"/>
          <w:bCs w:val="0"/>
          <w:sz w:val="20"/>
          <w:szCs w:val="20"/>
        </w:rPr>
        <w:t xml:space="preserve"> context, that would mean finding the nature of the behavioral issues and identifying the optimal type of therapy and the cost/benefit to be expected.  In the DoD Accession context, this would entail administering the diagnostic tests to all accession</w:t>
      </w:r>
      <w:r w:rsidR="00364417">
        <w:rPr>
          <w:rFonts w:ascii="Garamond" w:hAnsi="Garamond"/>
          <w:b w:val="0"/>
          <w:bCs w:val="0"/>
          <w:sz w:val="20"/>
          <w:szCs w:val="20"/>
        </w:rPr>
        <w:t xml:space="preserve"> candidates</w:t>
      </w:r>
      <w:r>
        <w:rPr>
          <w:rFonts w:ascii="Garamond" w:hAnsi="Garamond"/>
          <w:b w:val="0"/>
          <w:bCs w:val="0"/>
          <w:sz w:val="20"/>
          <w:szCs w:val="20"/>
        </w:rPr>
        <w:t>, preferably before enlistment, to establish if unacceptable behavioral tendencies exist and to aid in more optimal training and assignment decisions.</w:t>
      </w:r>
    </w:p>
    <w:p w:rsidR="00364417" w:rsidRDefault="00A53BF6">
      <w:pPr>
        <w:pStyle w:val="SIW-Hd-1"/>
        <w:ind w:left="0" w:right="0"/>
        <w:rPr>
          <w:rFonts w:ascii="Garamond" w:hAnsi="Garamond"/>
          <w:b w:val="0"/>
          <w:bCs w:val="0"/>
          <w:sz w:val="20"/>
          <w:szCs w:val="20"/>
        </w:rPr>
      </w:pPr>
      <w:r>
        <w:rPr>
          <w:rFonts w:ascii="Garamond" w:hAnsi="Garamond"/>
          <w:b w:val="0"/>
          <w:bCs w:val="0"/>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6.95pt;margin-top:6.65pt;width:215.6pt;height:131.35pt;z-index:251660800;mso-height-percent:200;mso-height-percent:200;mso-width-relative:margin;mso-height-relative:margin" stroked="f">
            <v:textbox style="mso-fit-shape-to-text:t" inset="0,0,0,0">
              <w:txbxContent>
                <w:p w:rsidR="003457C5" w:rsidRPr="003457C5" w:rsidRDefault="003457C5" w:rsidP="003457C5">
                  <w:pPr>
                    <w:jc w:val="center"/>
                  </w:pPr>
                  <w:r w:rsidRPr="003457C5">
                    <w:rPr>
                      <w:noProof/>
                    </w:rPr>
                    <w:drawing>
                      <wp:inline distT="0" distB="0" distL="0" distR="0">
                        <wp:extent cx="2605907" cy="1514651"/>
                        <wp:effectExtent l="19050" t="0" r="3943" b="0"/>
                        <wp:docPr id="2"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Clint.jpg"/>
                                <pic:cNvPicPr/>
                              </pic:nvPicPr>
                              <pic:blipFill>
                                <a:blip r:embed="rId13"/>
                                <a:stretch>
                                  <a:fillRect/>
                                </a:stretch>
                              </pic:blipFill>
                              <pic:spPr>
                                <a:xfrm>
                                  <a:off x="0" y="0"/>
                                  <a:ext cx="2605907" cy="1514651"/>
                                </a:xfrm>
                                <a:prstGeom prst="rect">
                                  <a:avLst/>
                                </a:prstGeom>
                              </pic:spPr>
                            </pic:pic>
                          </a:graphicData>
                        </a:graphic>
                      </wp:inline>
                    </w:drawing>
                  </w:r>
                </w:p>
                <w:p w:rsidR="003457C5" w:rsidRPr="003457C5" w:rsidRDefault="003457C5" w:rsidP="003457C5">
                  <w:pPr>
                    <w:pStyle w:val="Caption"/>
                    <w:spacing w:after="0"/>
                    <w:jc w:val="center"/>
                    <w:rPr>
                      <w:color w:val="auto"/>
                    </w:rPr>
                  </w:pPr>
                  <w:r w:rsidRPr="003457C5">
                    <w:rPr>
                      <w:color w:val="auto"/>
                    </w:rPr>
                    <w:t xml:space="preserve">Figure </w:t>
                  </w:r>
                  <w:r w:rsidR="00A53BF6" w:rsidRPr="003457C5">
                    <w:rPr>
                      <w:color w:val="auto"/>
                    </w:rPr>
                    <w:fldChar w:fldCharType="begin"/>
                  </w:r>
                  <w:r w:rsidRPr="003457C5">
                    <w:rPr>
                      <w:color w:val="auto"/>
                    </w:rPr>
                    <w:instrText xml:space="preserve"> SEQ Figure \* ARABIC </w:instrText>
                  </w:r>
                  <w:r w:rsidR="00A53BF6" w:rsidRPr="003457C5">
                    <w:rPr>
                      <w:color w:val="auto"/>
                    </w:rPr>
                    <w:fldChar w:fldCharType="separate"/>
                  </w:r>
                  <w:r w:rsidRPr="003457C5">
                    <w:rPr>
                      <w:noProof/>
                      <w:color w:val="auto"/>
                    </w:rPr>
                    <w:t>4</w:t>
                  </w:r>
                  <w:r w:rsidR="00A53BF6" w:rsidRPr="003457C5">
                    <w:rPr>
                      <w:color w:val="auto"/>
                    </w:rPr>
                    <w:fldChar w:fldCharType="end"/>
                  </w:r>
                  <w:r w:rsidRPr="003457C5">
                    <w:rPr>
                      <w:color w:val="auto"/>
                    </w:rPr>
                    <w:t xml:space="preserve"> – MentorPAL Panel via video-clips</w:t>
                  </w:r>
                </w:p>
              </w:txbxContent>
            </v:textbox>
            <w10:wrap type="square"/>
          </v:shape>
        </w:pict>
      </w:r>
      <w:r w:rsidR="00364417">
        <w:rPr>
          <w:rFonts w:ascii="Garamond" w:hAnsi="Garamond"/>
          <w:b w:val="0"/>
          <w:bCs w:val="0"/>
          <w:sz w:val="20"/>
          <w:szCs w:val="20"/>
        </w:rPr>
        <w:t>This work would build on the existing technologies and techniques in the use of NLP-enabled computer agents, either animated or via video clips, to present an on-screen environment that emulates a video-conference call</w:t>
      </w:r>
      <w:r w:rsidR="003457C5">
        <w:rPr>
          <w:rFonts w:ascii="Garamond" w:hAnsi="Garamond"/>
          <w:b w:val="0"/>
          <w:bCs w:val="0"/>
          <w:sz w:val="20"/>
          <w:szCs w:val="20"/>
        </w:rPr>
        <w:t>, e.g. the MentorPAL</w:t>
      </w:r>
      <w:r w:rsidR="00364417">
        <w:rPr>
          <w:rFonts w:ascii="Garamond" w:hAnsi="Garamond"/>
          <w:b w:val="0"/>
          <w:bCs w:val="0"/>
          <w:sz w:val="20"/>
          <w:szCs w:val="20"/>
        </w:rPr>
        <w:t xml:space="preserve"> (Nye, 2020)</w:t>
      </w:r>
      <w:r w:rsidR="00390F24">
        <w:rPr>
          <w:rFonts w:ascii="Garamond" w:hAnsi="Garamond"/>
          <w:b w:val="0"/>
          <w:bCs w:val="0"/>
          <w:sz w:val="20"/>
          <w:szCs w:val="20"/>
        </w:rPr>
        <w:t>.  Current work is restricted to reacting to verbal questions; XR would add many new and requisite capabilities to produce an on-screen environment</w:t>
      </w:r>
      <w:r w:rsidR="00152852">
        <w:rPr>
          <w:rFonts w:ascii="Garamond" w:hAnsi="Garamond"/>
          <w:b w:val="0"/>
          <w:bCs w:val="0"/>
          <w:sz w:val="20"/>
          <w:szCs w:val="20"/>
        </w:rPr>
        <w:t>. Th</w:t>
      </w:r>
      <w:r w:rsidR="00390F24">
        <w:rPr>
          <w:rFonts w:ascii="Garamond" w:hAnsi="Garamond"/>
          <w:b w:val="0"/>
          <w:bCs w:val="0"/>
          <w:sz w:val="20"/>
          <w:szCs w:val="20"/>
        </w:rPr>
        <w:t xml:space="preserve">e participants </w:t>
      </w:r>
      <w:r w:rsidR="00152852">
        <w:rPr>
          <w:rFonts w:ascii="Garamond" w:hAnsi="Garamond"/>
          <w:b w:val="0"/>
          <w:bCs w:val="0"/>
          <w:sz w:val="20"/>
          <w:szCs w:val="20"/>
        </w:rPr>
        <w:t>would be</w:t>
      </w:r>
      <w:r w:rsidR="00390F24">
        <w:rPr>
          <w:rFonts w:ascii="Garamond" w:hAnsi="Garamond"/>
          <w:b w:val="0"/>
          <w:bCs w:val="0"/>
          <w:sz w:val="20"/>
          <w:szCs w:val="20"/>
        </w:rPr>
        <w:t xml:space="preserve"> the subject, the virtual test administrator, and, if useful, the on-screen intervention of a live audio/video lead of an AR-enhanced human.  Sensors within the system </w:t>
      </w:r>
      <w:r w:rsidR="00152852">
        <w:rPr>
          <w:rFonts w:ascii="Garamond" w:hAnsi="Garamond"/>
          <w:b w:val="0"/>
          <w:bCs w:val="0"/>
          <w:sz w:val="20"/>
          <w:szCs w:val="20"/>
        </w:rPr>
        <w:t>could</w:t>
      </w:r>
      <w:r w:rsidR="00390F24">
        <w:rPr>
          <w:rFonts w:ascii="Garamond" w:hAnsi="Garamond"/>
          <w:b w:val="0"/>
          <w:bCs w:val="0"/>
          <w:sz w:val="20"/>
          <w:szCs w:val="20"/>
        </w:rPr>
        <w:t xml:space="preserve"> monitor many subject parameters: body language, facial </w:t>
      </w:r>
      <w:r w:rsidR="00390F24">
        <w:rPr>
          <w:rFonts w:ascii="Garamond" w:hAnsi="Garamond"/>
          <w:b w:val="0"/>
          <w:bCs w:val="0"/>
          <w:sz w:val="20"/>
          <w:szCs w:val="20"/>
        </w:rPr>
        <w:lastRenderedPageBreak/>
        <w:t xml:space="preserve">expression, voice tone, fatigue, emotional clues and verbal content to determine the appropriate action by the computer agent or to alarm </w:t>
      </w:r>
      <w:r w:rsidR="00152852">
        <w:rPr>
          <w:rFonts w:ascii="Garamond" w:hAnsi="Garamond"/>
          <w:b w:val="0"/>
          <w:bCs w:val="0"/>
          <w:sz w:val="20"/>
          <w:szCs w:val="20"/>
        </w:rPr>
        <w:t>a live-human monitor</w:t>
      </w:r>
      <w:r w:rsidR="00152852" w:rsidRPr="00152852">
        <w:rPr>
          <w:rFonts w:ascii="Garamond" w:hAnsi="Garamond"/>
          <w:b w:val="0"/>
          <w:bCs w:val="0"/>
          <w:sz w:val="20"/>
          <w:szCs w:val="20"/>
        </w:rPr>
        <w:t xml:space="preserve"> </w:t>
      </w:r>
      <w:r w:rsidR="00152852">
        <w:rPr>
          <w:rFonts w:ascii="Garamond" w:hAnsi="Garamond"/>
          <w:b w:val="0"/>
          <w:bCs w:val="0"/>
          <w:sz w:val="20"/>
          <w:szCs w:val="20"/>
        </w:rPr>
        <w:t xml:space="preserve">that personal intervention is required. That monitor could  be keeping track of some predetermined </w:t>
      </w:r>
      <w:r w:rsidR="00D50CB0">
        <w:rPr>
          <w:rFonts w:ascii="Garamond" w:hAnsi="Garamond"/>
          <w:b w:val="0"/>
          <w:bCs w:val="0"/>
          <w:sz w:val="20"/>
          <w:szCs w:val="20"/>
        </w:rPr>
        <w:t xml:space="preserve">large </w:t>
      </w:r>
      <w:r w:rsidR="00152852">
        <w:rPr>
          <w:rFonts w:ascii="Garamond" w:hAnsi="Garamond"/>
          <w:b w:val="0"/>
          <w:bCs w:val="0"/>
          <w:sz w:val="20"/>
          <w:szCs w:val="20"/>
        </w:rPr>
        <w:t>number of subjects and need not be a certified professional psychometrician, but should have access to one</w:t>
      </w:r>
      <w:r w:rsidR="00390F24">
        <w:rPr>
          <w:rFonts w:ascii="Garamond" w:hAnsi="Garamond"/>
          <w:b w:val="0"/>
          <w:bCs w:val="0"/>
          <w:sz w:val="20"/>
          <w:szCs w:val="20"/>
        </w:rPr>
        <w:t xml:space="preserve">.  If such intervention is required, the live-human would just break into the video stream, introduce </w:t>
      </w:r>
      <w:r w:rsidR="00152852">
        <w:rPr>
          <w:rFonts w:ascii="Garamond" w:hAnsi="Garamond"/>
          <w:b w:val="0"/>
          <w:bCs w:val="0"/>
          <w:sz w:val="20"/>
          <w:szCs w:val="20"/>
        </w:rPr>
        <w:t>themself</w:t>
      </w:r>
      <w:r w:rsidR="00390F24">
        <w:rPr>
          <w:rFonts w:ascii="Garamond" w:hAnsi="Garamond"/>
          <w:b w:val="0"/>
          <w:bCs w:val="0"/>
          <w:sz w:val="20"/>
          <w:szCs w:val="20"/>
        </w:rPr>
        <w:t>, and resolve any issues that were inhibiting the diagnostic effort.</w:t>
      </w:r>
      <w:r w:rsidR="00D64DA4">
        <w:rPr>
          <w:rFonts w:ascii="Garamond" w:hAnsi="Garamond"/>
          <w:b w:val="0"/>
          <w:bCs w:val="0"/>
          <w:sz w:val="20"/>
          <w:szCs w:val="20"/>
        </w:rPr>
        <w:t xml:space="preserve"> The intervening human would neither need </w:t>
      </w:r>
      <w:r w:rsidR="00152852">
        <w:rPr>
          <w:rFonts w:ascii="Garamond" w:hAnsi="Garamond"/>
          <w:b w:val="0"/>
          <w:bCs w:val="0"/>
          <w:sz w:val="20"/>
          <w:szCs w:val="20"/>
        </w:rPr>
        <w:t xml:space="preserve">to </w:t>
      </w:r>
      <w:r w:rsidR="00D64DA4">
        <w:rPr>
          <w:rFonts w:ascii="Garamond" w:hAnsi="Garamond"/>
          <w:b w:val="0"/>
          <w:bCs w:val="0"/>
          <w:sz w:val="20"/>
          <w:szCs w:val="20"/>
        </w:rPr>
        <w:t>nor</w:t>
      </w:r>
      <w:r w:rsidR="00152852">
        <w:rPr>
          <w:rFonts w:ascii="Garamond" w:hAnsi="Garamond"/>
          <w:b w:val="0"/>
          <w:bCs w:val="0"/>
          <w:sz w:val="20"/>
          <w:szCs w:val="20"/>
        </w:rPr>
        <w:t xml:space="preserve"> waste time</w:t>
      </w:r>
      <w:r w:rsidR="00D64DA4">
        <w:rPr>
          <w:rFonts w:ascii="Garamond" w:hAnsi="Garamond"/>
          <w:b w:val="0"/>
          <w:bCs w:val="0"/>
          <w:sz w:val="20"/>
          <w:szCs w:val="20"/>
        </w:rPr>
        <w:t xml:space="preserve"> evaluating the situation, but would be supplied, via AR, the important parameters of the session: </w:t>
      </w:r>
      <w:r w:rsidR="00152852">
        <w:rPr>
          <w:rFonts w:ascii="Garamond" w:hAnsi="Garamond"/>
          <w:b w:val="0"/>
          <w:bCs w:val="0"/>
          <w:sz w:val="20"/>
          <w:szCs w:val="20"/>
        </w:rPr>
        <w:t xml:space="preserve">the </w:t>
      </w:r>
      <w:r w:rsidR="00D64DA4">
        <w:rPr>
          <w:rFonts w:ascii="Garamond" w:hAnsi="Garamond"/>
          <w:b w:val="0"/>
          <w:bCs w:val="0"/>
          <w:sz w:val="20"/>
          <w:szCs w:val="20"/>
        </w:rPr>
        <w:t>issue</w:t>
      </w:r>
      <w:r w:rsidR="00152852">
        <w:rPr>
          <w:rFonts w:ascii="Garamond" w:hAnsi="Garamond"/>
          <w:b w:val="0"/>
          <w:bCs w:val="0"/>
          <w:sz w:val="20"/>
          <w:szCs w:val="20"/>
        </w:rPr>
        <w:t xml:space="preserve"> at hand</w:t>
      </w:r>
      <w:r w:rsidR="00D64DA4">
        <w:rPr>
          <w:rFonts w:ascii="Garamond" w:hAnsi="Garamond"/>
          <w:b w:val="0"/>
          <w:bCs w:val="0"/>
          <w:sz w:val="20"/>
          <w:szCs w:val="20"/>
        </w:rPr>
        <w:t xml:space="preserve">, time of session start, current progress, subject age, </w:t>
      </w:r>
      <w:r w:rsidR="00152852">
        <w:rPr>
          <w:rFonts w:ascii="Garamond" w:hAnsi="Garamond"/>
          <w:b w:val="0"/>
          <w:bCs w:val="0"/>
          <w:sz w:val="20"/>
          <w:szCs w:val="20"/>
        </w:rPr>
        <w:t xml:space="preserve">subject </w:t>
      </w:r>
      <w:r w:rsidR="00D64DA4">
        <w:rPr>
          <w:rFonts w:ascii="Garamond" w:hAnsi="Garamond"/>
          <w:b w:val="0"/>
          <w:bCs w:val="0"/>
          <w:sz w:val="20"/>
          <w:szCs w:val="20"/>
        </w:rPr>
        <w:t xml:space="preserve">education, and a transcript of the last few exchanges between the subject and the virtual test administrator. </w:t>
      </w:r>
    </w:p>
    <w:p w:rsidR="00D50CB0" w:rsidRDefault="00124134">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emotional stability and personal proclivities.  Early work with similar computer agents, both animated and via video-clips of "live" humans, has indicated that subjects spend more time conversing on the computer and focus and topics that are more sensitive and emotion laden</w:t>
      </w:r>
      <w:r w:rsidR="00F04315">
        <w:rPr>
          <w:rFonts w:ascii="Garamond" w:hAnsi="Garamond"/>
          <w:b w:val="0"/>
          <w:bCs w:val="0"/>
          <w:sz w:val="20"/>
          <w:szCs w:val="20"/>
        </w:rPr>
        <w:t xml:space="preserve"> (ICT, 20</w:t>
      </w:r>
      <w:r w:rsidR="00D50CB0">
        <w:rPr>
          <w:rFonts w:ascii="Garamond" w:hAnsi="Garamond"/>
          <w:b w:val="0"/>
          <w:bCs w:val="0"/>
          <w:sz w:val="20"/>
          <w:szCs w:val="20"/>
        </w:rPr>
        <w:t>15</w:t>
      </w:r>
      <w:r w:rsidR="00F04315">
        <w:rPr>
          <w:rFonts w:ascii="Garamond" w:hAnsi="Garamond"/>
          <w:b w:val="0"/>
          <w:bCs w:val="0"/>
          <w:sz w:val="20"/>
          <w:szCs w:val="20"/>
        </w:rPr>
        <w:t>)</w:t>
      </w:r>
      <w:r>
        <w:rPr>
          <w:rFonts w:ascii="Garamond" w:hAnsi="Garamond"/>
          <w:b w:val="0"/>
          <w:bCs w:val="0"/>
          <w:sz w:val="20"/>
          <w:szCs w:val="20"/>
        </w:rPr>
        <w:t>.</w:t>
      </w:r>
      <w:r w:rsidR="00F04315">
        <w:rPr>
          <w:rFonts w:ascii="Garamond" w:hAnsi="Garamond"/>
          <w:b w:val="0"/>
          <w:bCs w:val="0"/>
          <w:sz w:val="20"/>
          <w:szCs w:val="20"/>
        </w:rPr>
        <w:t xml:space="preserve"> </w:t>
      </w:r>
      <w:r>
        <w:rPr>
          <w:rFonts w:ascii="Garamond" w:hAnsi="Garamond"/>
          <w:b w:val="0"/>
          <w:bCs w:val="0"/>
          <w:sz w:val="20"/>
          <w:szCs w:val="20"/>
        </w:rPr>
        <w:t xml:space="preserve"> It is postulated here that XR enhanced interfaces will further </w:t>
      </w:r>
      <w:r w:rsidR="00F04315">
        <w:rPr>
          <w:rFonts w:ascii="Garamond" w:hAnsi="Garamond"/>
          <w:b w:val="0"/>
          <w:bCs w:val="0"/>
          <w:sz w:val="20"/>
          <w:szCs w:val="20"/>
        </w:rPr>
        <w:t>increase the sense of humanness, yet retain the mantle of a non-judgmental entity that is so important in both diagnostic</w:t>
      </w:r>
      <w:r w:rsidR="00D50CB0">
        <w:rPr>
          <w:rFonts w:ascii="Garamond" w:hAnsi="Garamond"/>
          <w:b w:val="0"/>
          <w:bCs w:val="0"/>
          <w:sz w:val="20"/>
          <w:szCs w:val="20"/>
        </w:rPr>
        <w:t xml:space="preserve"> testing</w:t>
      </w:r>
      <w:r w:rsidR="00F04315">
        <w:rPr>
          <w:rFonts w:ascii="Garamond" w:hAnsi="Garamond"/>
          <w:b w:val="0"/>
          <w:bCs w:val="0"/>
          <w:sz w:val="20"/>
          <w:szCs w:val="20"/>
        </w:rPr>
        <w:t xml:space="preserve"> and in therapy.</w:t>
      </w:r>
    </w:p>
    <w:p w:rsidR="00D50CB0" w:rsidRDefault="00D50CB0">
      <w:pPr>
        <w:pStyle w:val="SIW-Hd-1"/>
        <w:ind w:left="0" w:right="0"/>
        <w:rPr>
          <w:rFonts w:ascii="Garamond" w:hAnsi="Garamond"/>
          <w:b w:val="0"/>
          <w:bCs w:val="0"/>
          <w:sz w:val="20"/>
          <w:szCs w:val="20"/>
        </w:rPr>
      </w:pPr>
      <w:r>
        <w:rPr>
          <w:rFonts w:ascii="Garamond" w:hAnsi="Garamond"/>
          <w:b w:val="0"/>
          <w:bCs w:val="0"/>
          <w:sz w:val="20"/>
          <w:szCs w:val="20"/>
        </w:rPr>
        <w:t xml:space="preserve">The beneficiary groups who would see gains from this new approach would be manifold: the subjects, the people with whom they would be assigned to serve, the subject's seniors, and the taxpayers who would avoid the waste of a poorly assigned or inappropriately trained service member.  Of the two anecdotal service members mentioned above, </w:t>
      </w:r>
      <w:r w:rsidR="005C282C">
        <w:rPr>
          <w:rFonts w:ascii="Garamond" w:hAnsi="Garamond"/>
          <w:b w:val="0"/>
          <w:bCs w:val="0"/>
          <w:sz w:val="20"/>
          <w:szCs w:val="20"/>
        </w:rPr>
        <w:t xml:space="preserve">the Morse-trained </w:t>
      </w:r>
      <w:proofErr w:type="spellStart"/>
      <w:r w:rsidR="005C282C">
        <w:rPr>
          <w:rFonts w:ascii="Garamond" w:hAnsi="Garamond"/>
          <w:b w:val="0"/>
          <w:bCs w:val="0"/>
          <w:sz w:val="20"/>
          <w:szCs w:val="20"/>
        </w:rPr>
        <w:t>teletypist</w:t>
      </w:r>
      <w:proofErr w:type="spellEnd"/>
      <w:r w:rsidR="005C282C">
        <w:rPr>
          <w:rFonts w:ascii="Garamond" w:hAnsi="Garamond"/>
          <w:b w:val="0"/>
          <w:bCs w:val="0"/>
          <w:sz w:val="20"/>
          <w:szCs w:val="20"/>
        </w:rPr>
        <w:t xml:space="preserve"> would have avoided the ego-crushing revelation of his inability to perform in his assigned role, the Corps would have saved training effort and the Unit would have not had to "get creative" in order to use him.  The  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5C282C" w:rsidRDefault="005C282C">
      <w:pPr>
        <w:pStyle w:val="SIW-Hd-1"/>
        <w:ind w:left="0" w:right="0"/>
        <w:rPr>
          <w:rFonts w:ascii="Garamond" w:hAnsi="Garamond"/>
          <w:b w:val="0"/>
          <w:bCs w:val="0"/>
          <w:sz w:val="20"/>
          <w:szCs w:val="20"/>
        </w:rPr>
      </w:pPr>
      <w:r>
        <w:rPr>
          <w:rFonts w:ascii="Garamond" w:hAnsi="Garamond"/>
          <w:b w:val="0"/>
          <w:bCs w:val="0"/>
          <w:sz w:val="20"/>
          <w:szCs w:val="20"/>
        </w:rPr>
        <w:t xml:space="preserve">By making this entire system computer oriented, a significant improvement in diagnostic validity and verifiability would be anticipated.  One issue with Projective Tests has been isolating and filtering out the subjective nature of the evaluator's personal biases. With the XR approach and using A/I and Deep Learning, the correlation to diagnostic test results and the already current </w:t>
      </w:r>
      <w:r w:rsidR="00E65573">
        <w:rPr>
          <w:rFonts w:ascii="Garamond" w:hAnsi="Garamond"/>
          <w:b w:val="0"/>
          <w:bCs w:val="0"/>
          <w:sz w:val="20"/>
          <w:szCs w:val="20"/>
        </w:rPr>
        <w:t>rigorous documentation of performance in the DoD could be used as a valuable metric in assessing which tests were the most predictive and which subtest questions or facets were the most useful.</w:t>
      </w:r>
    </w:p>
    <w:p w:rsidR="002F3AFA" w:rsidRDefault="002F3AFA" w:rsidP="002F3AFA">
      <w:pPr>
        <w:pStyle w:val="SIW-Hd-1"/>
        <w:spacing w:before="230" w:after="144"/>
        <w:ind w:left="0" w:right="0"/>
        <w:rPr>
          <w:rFonts w:ascii="Garamond" w:hAnsi="Garamond"/>
        </w:rPr>
      </w:pPr>
      <w:r>
        <w:rPr>
          <w:rFonts w:ascii="Garamond" w:hAnsi="Garamond"/>
        </w:rPr>
        <w:t>Metrics</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  One might be if the tests would remain valid or would there spring up web-sites, saying "If you want to be an Army Sniper, here's how to answer the Inkblot test questions."? Another issue might be an objection from the public about probing the inner most beings of the service member.  One of the authors (Davis) talked to four recruiters in the middle of the Vietnam War, and none of the four asked what might be the germane question: "What makes you think you could withstand the pressures of combat?".  The method outlined above might very well reveal many things about a person that they would prefer not to face.</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 xml:space="preserve">Fortunately for any decision maker, the system proposed would present a very good, built-in, method for assessing the value of the approach.  </w:t>
      </w:r>
      <w:r w:rsidR="004D7336">
        <w:rPr>
          <w:rFonts w:ascii="Garamond" w:hAnsi="Garamond"/>
          <w:b w:val="0"/>
          <w:bCs w:val="0"/>
          <w:sz w:val="20"/>
          <w:szCs w:val="20"/>
        </w:rPr>
        <w:t xml:space="preserve">Beating the cost of the method against its cost would depend most strongly on the choice of the figure of merit selected.  The services currently keep careful records that are slanted toward evaluating fitness for promotion. This misses the other valuable intangible assets of a service member.  Trying to parse out issues like dedication to duty, valor, heroism, and self-sacrifice rise almost </w:t>
      </w:r>
      <w:proofErr w:type="gramStart"/>
      <w:r w:rsidR="004D7336">
        <w:rPr>
          <w:rFonts w:ascii="Garamond" w:hAnsi="Garamond"/>
          <w:b w:val="0"/>
          <w:bCs w:val="0"/>
          <w:sz w:val="20"/>
          <w:szCs w:val="20"/>
        </w:rPr>
        <w:t>to</w:t>
      </w:r>
      <w:proofErr w:type="gramEnd"/>
      <w:r w:rsidR="004D7336">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682979" w:rsidRDefault="00016D86">
      <w:pPr>
        <w:pStyle w:val="SIW-Hd-1"/>
        <w:spacing w:before="230" w:after="144"/>
        <w:ind w:left="0" w:right="0"/>
        <w:rPr>
          <w:rFonts w:ascii="Garamond" w:hAnsi="Garamond"/>
        </w:rPr>
      </w:pPr>
      <w:r>
        <w:rPr>
          <w:rFonts w:ascii="Garamond" w:hAnsi="Garamond"/>
        </w:rPr>
        <w:t>Extensibility</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t xml:space="preserve">One of the more heartening and exciting facets of this line of research is its potential in a wide range of other contexts.  This approach would be easily applied to similar civilian environments, </w:t>
      </w:r>
      <w:r w:rsidRPr="002F3AFA">
        <w:rPr>
          <w:rFonts w:ascii="Garamond" w:hAnsi="Garamond"/>
          <w:b w:val="0"/>
          <w:bCs w:val="0"/>
          <w:i/>
          <w:sz w:val="20"/>
          <w:szCs w:val="20"/>
        </w:rPr>
        <w:t xml:space="preserve">e.g. </w:t>
      </w:r>
      <w:r>
        <w:rPr>
          <w:rFonts w:ascii="Garamond" w:hAnsi="Garamond"/>
          <w:b w:val="0"/>
          <w:bCs w:val="0"/>
          <w:sz w:val="20"/>
          <w:szCs w:val="20"/>
        </w:rPr>
        <w:t xml:space="preserve">air crews, police, firemen, emergency medical crews, and other public safety personnel. Beyond that, </w:t>
      </w:r>
      <w:proofErr w:type="gramStart"/>
      <w:r>
        <w:rPr>
          <w:rFonts w:ascii="Garamond" w:hAnsi="Garamond"/>
          <w:b w:val="0"/>
          <w:bCs w:val="0"/>
          <w:sz w:val="20"/>
          <w:szCs w:val="20"/>
        </w:rPr>
        <w:t>the are</w:t>
      </w:r>
      <w:proofErr w:type="gramEnd"/>
      <w:r>
        <w:rPr>
          <w:rFonts w:ascii="Garamond" w:hAnsi="Garamond"/>
          <w:b w:val="0"/>
          <w:bCs w:val="0"/>
          <w:sz w:val="20"/>
          <w:szCs w:val="20"/>
        </w:rPr>
        <w:t xml:space="preserve"> myriad social issues that are exacerbated by the involved presence of members of the public who are suffering from undiagnosed mental illness. These also might benefit from a very inexpensive and more valid testing of their emotional state.  </w:t>
      </w:r>
    </w:p>
    <w:p w:rsidR="00682979" w:rsidRDefault="00016D86">
      <w:pPr>
        <w:pStyle w:val="SIW-Hd-1"/>
        <w:spacing w:before="230" w:after="144"/>
        <w:ind w:left="0" w:right="0"/>
        <w:rPr>
          <w:rFonts w:ascii="Garamond" w:hAnsi="Garamond"/>
        </w:rPr>
      </w:pPr>
      <w:r>
        <w:rPr>
          <w:rFonts w:ascii="Garamond" w:hAnsi="Garamond"/>
        </w:rPr>
        <w:t>Conclusory Remarks</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lastRenderedPageBreak/>
        <w:t xml:space="preserve">There is an emerging capability to administer diagnostic tests via a computer agent interface to large segments of any group </w:t>
      </w:r>
      <w:r w:rsidR="00D93736">
        <w:rPr>
          <w:rFonts w:ascii="Garamond" w:hAnsi="Garamond"/>
          <w:b w:val="0"/>
          <w:bCs w:val="0"/>
          <w:sz w:val="20"/>
          <w:szCs w:val="20"/>
        </w:rPr>
        <w:t xml:space="preserve">in order </w:t>
      </w:r>
      <w:r>
        <w:rPr>
          <w:rFonts w:ascii="Garamond" w:hAnsi="Garamond"/>
          <w:b w:val="0"/>
          <w:bCs w:val="0"/>
          <w:sz w:val="20"/>
          <w:szCs w:val="20"/>
        </w:rPr>
        <w:t xml:space="preserve">to seek out tendencies or maladies that merit attention by decision makers and therapists. </w:t>
      </w:r>
      <w:r w:rsidR="00D93736">
        <w:rPr>
          <w:rFonts w:ascii="Garamond" w:hAnsi="Garamond"/>
          <w:b w:val="0"/>
          <w:bCs w:val="0"/>
          <w:sz w:val="20"/>
          <w:szCs w:val="20"/>
        </w:rPr>
        <w:t xml:space="preserve">Currently this need is not being effectively met due to expense and scheduling barriers. Using the entire range of XR capabilities can address these issues in a cost-effective and societally acceptable manner.  This would allow better selection, more focused training, improved assignment choice and reduced </w:t>
      </w:r>
      <w:proofErr w:type="spellStart"/>
      <w:r w:rsidR="00D93736">
        <w:rPr>
          <w:rFonts w:ascii="Garamond" w:hAnsi="Garamond"/>
          <w:b w:val="0"/>
          <w:bCs w:val="0"/>
          <w:sz w:val="20"/>
          <w:szCs w:val="20"/>
        </w:rPr>
        <w:t>mis</w:t>
      </w:r>
      <w:proofErr w:type="spellEnd"/>
      <w:r w:rsidR="00D93736">
        <w:rPr>
          <w:rFonts w:ascii="Garamond" w:hAnsi="Garamond"/>
          <w:b w:val="0"/>
          <w:bCs w:val="0"/>
          <w:sz w:val="20"/>
          <w:szCs w:val="20"/>
        </w:rPr>
        <w:t>-guided decisions.  Such a project has some risks, but the technology exists to allow a commencement today, with a commitment to careful safeguards and metrics to ensure a public benefit.</w:t>
      </w:r>
    </w:p>
    <w:p w:rsidR="00682979" w:rsidRDefault="00016D86">
      <w:pPr>
        <w:pStyle w:val="SIW-Hd-1"/>
        <w:spacing w:before="230" w:after="144"/>
        <w:ind w:left="0" w:right="0"/>
        <w:rPr>
          <w:rFonts w:ascii="Garamond" w:hAnsi="Garamond"/>
        </w:rPr>
      </w:pPr>
      <w:r>
        <w:rPr>
          <w:rFonts w:ascii="Garamond" w:hAnsi="Garamond"/>
        </w:rPr>
        <w:t>References</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Davis, D. M., Predovich, K.B., Stassi, F.J., Spaulding, H., Shaw, K &amp; Nye, B.D. (2018). Enhancing Menteeship: Improving Career Selection for Potential DoD Personnel. In the </w:t>
      </w:r>
      <w:r w:rsidRPr="00364417">
        <w:rPr>
          <w:rFonts w:ascii="Garamond" w:hAnsi="Garamond"/>
          <w:b w:val="0"/>
          <w:bCs w:val="0"/>
          <w:i/>
          <w:sz w:val="18"/>
          <w:szCs w:val="18"/>
        </w:rPr>
        <w:t>Proceedings of the SISO Fall Simulation Innovation Workshop.</w:t>
      </w:r>
      <w:r w:rsidRPr="00364417">
        <w:rPr>
          <w:rFonts w:ascii="Garamond" w:hAnsi="Garamond"/>
          <w:b w:val="0"/>
          <w:bCs w:val="0"/>
          <w:sz w:val="18"/>
          <w:szCs w:val="18"/>
        </w:rPr>
        <w:t xml:space="preserve"> Orlando, Florida:</w:t>
      </w:r>
      <w:r>
        <w:rPr>
          <w:rFonts w:ascii="Garamond" w:hAnsi="Garamond"/>
          <w:b w:val="0"/>
          <w:bCs w:val="0"/>
          <w:sz w:val="18"/>
          <w:szCs w:val="18"/>
        </w:rPr>
        <w:t xml:space="preserve"> </w:t>
      </w:r>
      <w:r w:rsidRPr="00364417">
        <w:rPr>
          <w:rFonts w:ascii="Garamond" w:hAnsi="Garamond"/>
          <w:b w:val="0"/>
          <w:bCs w:val="0"/>
          <w:sz w:val="18"/>
          <w:szCs w:val="18"/>
        </w:rPr>
        <w:t xml:space="preserve">SISO </w:t>
      </w:r>
    </w:p>
    <w:p w:rsidR="00682979" w:rsidRDefault="00016D86">
      <w:pPr>
        <w:pStyle w:val="SIW-Hd-1"/>
        <w:ind w:left="360" w:right="449" w:hanging="180"/>
        <w:rPr>
          <w:rFonts w:ascii="Garamond" w:hAnsi="Garamond"/>
        </w:rPr>
      </w:pPr>
      <w:r>
        <w:rPr>
          <w:rFonts w:ascii="Garamond" w:hAnsi="Garamond"/>
          <w:b w:val="0"/>
          <w:bCs w:val="0"/>
          <w:sz w:val="18"/>
          <w:szCs w:val="18"/>
        </w:rPr>
        <w:t>Fusca, N. (2018). An Examination of the Utility of the Thematic Apperception Test in Determining Resilience (Doctoral dissertation, Carlow University).</w:t>
      </w:r>
    </w:p>
    <w:p w:rsidR="00682979" w:rsidRDefault="00D50CB0">
      <w:pPr>
        <w:pStyle w:val="SIW-Hd-1"/>
        <w:ind w:left="360" w:right="449" w:hanging="180"/>
        <w:rPr>
          <w:rFonts w:ascii="Garamond" w:hAnsi="Garamond"/>
        </w:rPr>
      </w:pPr>
      <w:r>
        <w:rPr>
          <w:rFonts w:ascii="Garamond" w:hAnsi="Garamond"/>
          <w:b w:val="0"/>
          <w:bCs w:val="0"/>
          <w:sz w:val="18"/>
          <w:szCs w:val="18"/>
        </w:rPr>
        <w:t>ICT, (2015</w:t>
      </w:r>
      <w:r w:rsidR="00F04315" w:rsidRPr="00F04315">
        <w:rPr>
          <w:rFonts w:ascii="Garamond" w:hAnsi="Garamond"/>
          <w:b w:val="0"/>
          <w:bCs w:val="0"/>
          <w:sz w:val="18"/>
          <w:szCs w:val="18"/>
        </w:rPr>
        <w:t>). Selected Slides from presentation to the Army Research Laboratory. Retrieved on 29Nov16 from the internet at: http://www.hpc-educ.org/AFIT-Init/Materials/Slides/VH-or-Voice-or-StaticImage.pdf</w:t>
      </w:r>
      <w:r w:rsidR="00016D86">
        <w:rPr>
          <w:rFonts w:ascii="Garamond" w:hAnsi="Garamond"/>
          <w:b w:val="0"/>
          <w:bCs w:val="0"/>
          <w:sz w:val="18"/>
          <w:szCs w:val="18"/>
        </w:rPr>
        <w:t xml:space="preserve">Machover, K. (1949). </w:t>
      </w:r>
      <w:r w:rsidR="00016D86">
        <w:rPr>
          <w:rFonts w:ascii="Garamond" w:hAnsi="Garamond"/>
          <w:b w:val="0"/>
          <w:bCs w:val="0"/>
          <w:i/>
          <w:sz w:val="18"/>
          <w:szCs w:val="18"/>
        </w:rPr>
        <w:t>Personality projection: in the drawing of a human figure.</w:t>
      </w:r>
      <w:r w:rsidR="00016D86">
        <w:rPr>
          <w:rFonts w:ascii="Garamond" w:hAnsi="Garamond"/>
          <w:b w:val="0"/>
          <w:bCs w:val="0"/>
          <w:sz w:val="18"/>
          <w:szCs w:val="18"/>
        </w:rPr>
        <w:t xml:space="preserve"> Charles C Thomas Publisher.</w:t>
      </w:r>
    </w:p>
    <w:p w:rsidR="00682979" w:rsidRDefault="00016D86">
      <w:pPr>
        <w:pStyle w:val="SIW-Hd-1"/>
        <w:ind w:left="360" w:right="449" w:hanging="180"/>
        <w:rPr>
          <w:rFonts w:ascii="Garamond" w:hAnsi="Garamond"/>
        </w:rPr>
      </w:pPr>
      <w:r>
        <w:rPr>
          <w:rFonts w:ascii="Garamond" w:hAnsi="Garamond"/>
          <w:b w:val="0"/>
          <w:bCs w:val="0"/>
          <w:sz w:val="18"/>
          <w:szCs w:val="18"/>
        </w:rPr>
        <w:t xml:space="preserve">Moore, H. G., &amp; Galloway, J. L. (2004). </w:t>
      </w:r>
      <w:r>
        <w:rPr>
          <w:rFonts w:ascii="Garamond" w:hAnsi="Garamond"/>
          <w:b w:val="0"/>
          <w:bCs w:val="0"/>
          <w:i/>
          <w:sz w:val="18"/>
          <w:szCs w:val="18"/>
        </w:rPr>
        <w:t>We were soldiers once... And young: Ia Drang-The battle that changed the war in Vietnam</w:t>
      </w:r>
      <w:r>
        <w:rPr>
          <w:rFonts w:ascii="Garamond" w:hAnsi="Garamond"/>
          <w:b w:val="0"/>
          <w:bCs w:val="0"/>
          <w:sz w:val="18"/>
          <w:szCs w:val="18"/>
        </w:rPr>
        <w:t xml:space="preserve">. Presidio Press. </w:t>
      </w:r>
    </w:p>
    <w:p w:rsidR="00682979" w:rsidRDefault="00016D86">
      <w:pPr>
        <w:pStyle w:val="SIW-Hd-1"/>
        <w:ind w:left="360" w:right="449" w:hanging="180"/>
        <w:rPr>
          <w:rFonts w:ascii="Garamond" w:hAnsi="Garamond"/>
        </w:rPr>
      </w:pPr>
      <w:r>
        <w:rPr>
          <w:rFonts w:ascii="Garamond" w:hAnsi="Garamond"/>
          <w:b w:val="0"/>
          <w:bCs w:val="0"/>
          <w:sz w:val="18"/>
          <w:szCs w:val="18"/>
        </w:rPr>
        <w:t xml:space="preserve">Nye, B.D., Davis, D.M., Rizvi, S.Z., Carr, K., Swartout, W., Thacker, R. &amp; Shaw, K. (2020). Feasibility and Usability of MentorPal, a Framework for rapid Development of virtual Mentors. </w:t>
      </w:r>
      <w:r>
        <w:rPr>
          <w:rFonts w:ascii="Garamond" w:hAnsi="Garamond"/>
          <w:b w:val="0"/>
          <w:bCs w:val="0"/>
          <w:i/>
          <w:iCs/>
          <w:sz w:val="18"/>
          <w:szCs w:val="18"/>
        </w:rPr>
        <w:t>Journal of Research on Technology in Education.</w:t>
      </w:r>
    </w:p>
    <w:p w:rsidR="00682979" w:rsidRDefault="00016D86">
      <w:pPr>
        <w:pStyle w:val="SIW-Hd-1"/>
        <w:ind w:left="360" w:right="449" w:hanging="180"/>
        <w:rPr>
          <w:rFonts w:ascii="Garamond" w:hAnsi="Garamond"/>
        </w:rPr>
      </w:pPr>
      <w:r>
        <w:rPr>
          <w:rFonts w:ascii="Garamond" w:hAnsi="Garamond"/>
          <w:b w:val="0"/>
          <w:bCs w:val="0"/>
          <w:sz w:val="18"/>
          <w:szCs w:val="18"/>
        </w:rPr>
        <w:t xml:space="preserve">Ross, T. P., Calhoun, E., Cox, T., Wenner, C., Kono, W., &amp; Pleasant, M. (2007). The reliability and validity of qualitative scores for the Controlled Oral Word Association Test. </w:t>
      </w:r>
      <w:r>
        <w:rPr>
          <w:rFonts w:ascii="Garamond" w:hAnsi="Garamond"/>
          <w:b w:val="0"/>
          <w:bCs w:val="0"/>
          <w:i/>
          <w:sz w:val="18"/>
          <w:szCs w:val="18"/>
        </w:rPr>
        <w:t>Archives of Clinical Neuropsychology</w:t>
      </w:r>
      <w:r>
        <w:rPr>
          <w:rFonts w:ascii="Garamond" w:hAnsi="Garamond"/>
          <w:b w:val="0"/>
          <w:bCs w:val="0"/>
          <w:sz w:val="18"/>
          <w:szCs w:val="18"/>
        </w:rPr>
        <w:t>, 22(4), 475-488.</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Shaw, K., Davis, D.M., Rizvi, S.Z., &amp; Davis, M.C. (2019). Quantum Computing: Evaluating Potential Quantification of Projective Psychological Test Scoring. In the </w:t>
      </w:r>
      <w:r w:rsidRPr="00364417">
        <w:rPr>
          <w:rFonts w:ascii="Garamond" w:hAnsi="Garamond"/>
          <w:b w:val="0"/>
          <w:bCs w:val="0"/>
          <w:i/>
          <w:sz w:val="18"/>
          <w:szCs w:val="18"/>
        </w:rPr>
        <w:t>Proceedings of the ModSim World Conference.</w:t>
      </w:r>
      <w:r w:rsidRPr="00364417">
        <w:rPr>
          <w:rFonts w:ascii="Garamond" w:hAnsi="Garamond"/>
          <w:b w:val="0"/>
          <w:bCs w:val="0"/>
          <w:sz w:val="18"/>
          <w:szCs w:val="18"/>
        </w:rPr>
        <w:t xml:space="preserve"> Norfolk, Virginia</w:t>
      </w:r>
    </w:p>
    <w:p w:rsidR="00682979" w:rsidRDefault="00016D86">
      <w:pPr>
        <w:pStyle w:val="SIW-Hd-1"/>
        <w:ind w:left="360" w:right="449" w:hanging="180"/>
        <w:rPr>
          <w:rFonts w:ascii="Garamond" w:hAnsi="Garamond"/>
        </w:rPr>
      </w:pPr>
      <w:r>
        <w:rPr>
          <w:rFonts w:ascii="Garamond" w:hAnsi="Garamond"/>
          <w:b w:val="0"/>
          <w:bCs w:val="0"/>
          <w:sz w:val="18"/>
          <w:szCs w:val="18"/>
        </w:rPr>
        <w:t xml:space="preserve">Soley, L.C. &amp; Smith, A.L. (2008). </w:t>
      </w:r>
      <w:r>
        <w:rPr>
          <w:rFonts w:ascii="Garamond" w:hAnsi="Garamond"/>
          <w:b w:val="0"/>
          <w:bCs w:val="0"/>
          <w:i/>
          <w:sz w:val="18"/>
          <w:szCs w:val="18"/>
        </w:rPr>
        <w:t>Projective Techniques for Social Science and Business Research</w:t>
      </w:r>
      <w:r>
        <w:rPr>
          <w:rFonts w:ascii="Garamond" w:hAnsi="Garamond"/>
          <w:b w:val="0"/>
          <w:bCs w:val="0"/>
          <w:sz w:val="18"/>
          <w:szCs w:val="18"/>
        </w:rPr>
        <w:t>. The Southshore Press.</w:t>
      </w:r>
    </w:p>
    <w:p w:rsidR="00682979" w:rsidRDefault="00016D86">
      <w:pPr>
        <w:pStyle w:val="SIW-Hd-1"/>
        <w:ind w:left="360" w:right="449" w:hanging="180"/>
        <w:rPr>
          <w:rFonts w:ascii="Garamond" w:hAnsi="Garamond"/>
        </w:rPr>
      </w:pPr>
      <w:r>
        <w:rPr>
          <w:rFonts w:ascii="Garamond" w:hAnsi="Garamond"/>
          <w:b w:val="0"/>
          <w:bCs w:val="0"/>
          <w:sz w:val="18"/>
          <w:szCs w:val="18"/>
        </w:rPr>
        <w:t xml:space="preserve">Wikipedia. (2021). </w:t>
      </w:r>
      <w:r>
        <w:rPr>
          <w:rFonts w:ascii="Garamond" w:hAnsi="Garamond"/>
          <w:b w:val="0"/>
          <w:bCs w:val="0"/>
          <w:i/>
          <w:sz w:val="18"/>
          <w:szCs w:val="18"/>
        </w:rPr>
        <w:t>Rorschach test: Inkblots</w:t>
      </w:r>
      <w:r>
        <w:rPr>
          <w:rFonts w:ascii="Garamond" w:hAnsi="Garamond"/>
          <w:b w:val="0"/>
          <w:bCs w:val="0"/>
          <w:sz w:val="18"/>
          <w:szCs w:val="18"/>
        </w:rPr>
        <w:t>, recovered from the web 07 November 2021 from the Wikipedia web site at: https://en.wikipedia.org/wiki/Rorschach_test#Inkblots</w:t>
      </w:r>
    </w:p>
    <w:p w:rsidR="00682979" w:rsidRDefault="00682979">
      <w:pPr>
        <w:pStyle w:val="SIW-Hd-1"/>
        <w:ind w:left="360" w:right="449" w:hanging="180"/>
        <w:rPr>
          <w:rFonts w:ascii="Garamond" w:hAnsi="Garamond"/>
          <w:sz w:val="18"/>
          <w:szCs w:val="18"/>
        </w:rPr>
      </w:pPr>
    </w:p>
    <w:p w:rsidR="00682979" w:rsidRDefault="00682979">
      <w:pPr>
        <w:pStyle w:val="SIW-Hd-1"/>
        <w:ind w:left="360" w:right="449" w:hanging="180"/>
        <w:rPr>
          <w:rFonts w:ascii="Garamond" w:hAnsi="Garamond"/>
          <w:sz w:val="18"/>
          <w:szCs w:val="18"/>
        </w:rPr>
      </w:pPr>
    </w:p>
    <w:p w:rsidR="00682979" w:rsidRDefault="00682979">
      <w:pPr>
        <w:pStyle w:val="SIW-Hd-1"/>
        <w:ind w:left="0" w:right="0"/>
        <w:rPr>
          <w:rFonts w:ascii="Garamond" w:hAnsi="Garamond"/>
        </w:rPr>
      </w:pPr>
    </w:p>
    <w:p w:rsidR="00682979" w:rsidRDefault="00016D86">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682979" w:rsidRDefault="00682979">
      <w:pPr>
        <w:pStyle w:val="SIW-Hd-1"/>
        <w:ind w:left="0" w:right="0"/>
        <w:rPr>
          <w:rFonts w:ascii="Garamond" w:hAnsi="Garamond"/>
        </w:rPr>
      </w:pPr>
    </w:p>
    <w:p w:rsidR="00682979" w:rsidRDefault="00016D86">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682979" w:rsidSect="00682979">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A0F" w:rsidRDefault="00382A0F" w:rsidP="00682979">
      <w:pPr>
        <w:spacing w:line="240" w:lineRule="auto"/>
      </w:pPr>
      <w:r>
        <w:separator/>
      </w:r>
    </w:p>
  </w:endnote>
  <w:endnote w:type="continuationSeparator" w:id="0">
    <w:p w:rsidR="00382A0F" w:rsidRDefault="00382A0F" w:rsidP="006829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A0F" w:rsidRDefault="00382A0F" w:rsidP="00682979">
      <w:pPr>
        <w:spacing w:line="240" w:lineRule="auto"/>
      </w:pPr>
      <w:r>
        <w:separator/>
      </w:r>
    </w:p>
  </w:footnote>
  <w:footnote w:type="continuationSeparator" w:id="0">
    <w:p w:rsidR="00382A0F" w:rsidRDefault="00382A0F" w:rsidP="006829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79" w:rsidRDefault="00016D86">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5FF"/>
    <w:multiLevelType w:val="multilevel"/>
    <w:tmpl w:val="08DA00A8"/>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C521A3"/>
    <w:multiLevelType w:val="multilevel"/>
    <w:tmpl w:val="5108F1D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53E24CE1"/>
    <w:multiLevelType w:val="multilevel"/>
    <w:tmpl w:val="1F4C19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4DC29D2"/>
    <w:multiLevelType w:val="multilevel"/>
    <w:tmpl w:val="11204F56"/>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682979"/>
    <w:rsid w:val="00016D86"/>
    <w:rsid w:val="00124134"/>
    <w:rsid w:val="00152852"/>
    <w:rsid w:val="002F3AFA"/>
    <w:rsid w:val="003457C5"/>
    <w:rsid w:val="00364417"/>
    <w:rsid w:val="00382A0F"/>
    <w:rsid w:val="00390F24"/>
    <w:rsid w:val="004D3CD1"/>
    <w:rsid w:val="004D7336"/>
    <w:rsid w:val="005C282C"/>
    <w:rsid w:val="00682979"/>
    <w:rsid w:val="00A53BF6"/>
    <w:rsid w:val="00AB1796"/>
    <w:rsid w:val="00CD1398"/>
    <w:rsid w:val="00D50CB0"/>
    <w:rsid w:val="00D64DA4"/>
    <w:rsid w:val="00D93736"/>
    <w:rsid w:val="00E65573"/>
    <w:rsid w:val="00F04315"/>
    <w:rsid w:val="00F55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233C2-3CA6-44D0-A332-7F78A268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2021-11-08T17:07:00Z</dcterms:created>
  <dcterms:modified xsi:type="dcterms:W3CDTF">2021-11-08T17:07:00Z</dcterms:modified>
  <dc:language>en-US</dc:language>
</cp:coreProperties>
</file>