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CF176C">
        <w:rPr>
          <w:b/>
          <w:sz w:val="28"/>
        </w:rPr>
        <w:t>Defense Force-</w:t>
      </w:r>
      <w:r w:rsidR="00EC6F20">
        <w:rPr>
          <w:b/>
          <w:sz w:val="28"/>
        </w:rPr>
        <w:t>Simulation</w:t>
      </w:r>
      <w:r w:rsidR="00CF176C">
        <w:rPr>
          <w:b/>
          <w:sz w:val="28"/>
        </w:rPr>
        <w:t>s</w:t>
      </w:r>
      <w:r w:rsidR="00EC6F20">
        <w:rPr>
          <w:b/>
          <w:sz w:val="28"/>
        </w:rPr>
        <w:t xml:space="preserve"> E</w:t>
      </w:r>
      <w:r w:rsidR="00C85933">
        <w:rPr>
          <w:b/>
          <w:sz w:val="28"/>
        </w:rPr>
        <w:t>valuation</w:t>
      </w:r>
      <w:r w:rsidR="00EC6F20">
        <w:rPr>
          <w:b/>
          <w:sz w:val="28"/>
        </w:rPr>
        <w:t xml:space="preserve">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w:t>
      </w:r>
      <w:r w:rsidR="00C85933">
        <w:rPr>
          <w:iCs/>
        </w:rPr>
        <w:t xml:space="preserve">technology </w:t>
      </w:r>
      <w:r>
        <w:rPr>
          <w:iCs/>
        </w:rPr>
        <w:t>evaluation. The future holds many unknowns, not the least of which is the impact</w:t>
      </w:r>
      <w:r w:rsidR="00E61032">
        <w:rPr>
          <w:iCs/>
        </w:rPr>
        <w:t>s</w:t>
      </w:r>
      <w:r>
        <w:rPr>
          <w:iCs/>
        </w:rPr>
        <w:t xml:space="preserve"> from</w:t>
      </w:r>
      <w:r w:rsidR="003C611B">
        <w:rPr>
          <w:iCs/>
        </w:rPr>
        <w:t xml:space="preserve"> the</w:t>
      </w:r>
      <w:r>
        <w:rPr>
          <w:iCs/>
        </w:rPr>
        <w:t xml:space="preserve"> </w:t>
      </w:r>
      <w:r w:rsidR="003C611B">
        <w:rPr>
          <w:iCs/>
        </w:rPr>
        <w:t xml:space="preserve">adoption of </w:t>
      </w:r>
      <w:r w:rsidR="00163F9C">
        <w:rPr>
          <w:iCs/>
        </w:rPr>
        <w:t>sustainable</w:t>
      </w:r>
      <w:r>
        <w:rPr>
          <w:iCs/>
        </w:rPr>
        <w:t xml:space="preserve"> energy </w:t>
      </w:r>
      <w:proofErr w:type="gramStart"/>
      <w:r>
        <w:rPr>
          <w:iCs/>
        </w:rPr>
        <w:t>and</w:t>
      </w:r>
      <w:r w:rsidR="00CF176C">
        <w:rPr>
          <w:iCs/>
        </w:rPr>
        <w:t xml:space="preserve">  the</w:t>
      </w:r>
      <w:proofErr w:type="gramEnd"/>
      <w:r w:rsidR="00CF176C">
        <w:rPr>
          <w:iCs/>
        </w:rPr>
        <w:t xml:space="preserve"> </w:t>
      </w:r>
      <w:r w:rsidR="00E61032">
        <w:rPr>
          <w:iCs/>
        </w:rPr>
        <w:t>abandonment</w:t>
      </w:r>
      <w:r>
        <w:rPr>
          <w:iCs/>
        </w:rPr>
        <w:t xml:space="preserve"> </w:t>
      </w:r>
      <w:r w:rsidR="00E61032">
        <w:rPr>
          <w:iCs/>
        </w:rPr>
        <w:t xml:space="preserve">of </w:t>
      </w:r>
      <w:r>
        <w:rPr>
          <w:iCs/>
        </w:rPr>
        <w:t xml:space="preserve">reliance on traditional </w:t>
      </w:r>
      <w:r w:rsidR="00E61032">
        <w:rPr>
          <w:iCs/>
        </w:rPr>
        <w:t>fuels</w:t>
      </w:r>
      <w:r w:rsidR="00525EC4">
        <w:rPr>
          <w:iCs/>
        </w:rPr>
        <w:t>.</w:t>
      </w:r>
      <w:r>
        <w:rPr>
          <w:iCs/>
        </w:rPr>
        <w:t xml:space="preserve"> These influences may flow in both directions: the impact </w:t>
      </w:r>
      <w:r w:rsidR="00E61032">
        <w:rPr>
          <w:iCs/>
        </w:rPr>
        <w:t xml:space="preserve">of defense imperatives </w:t>
      </w:r>
      <w:r>
        <w:rPr>
          <w:iCs/>
        </w:rPr>
        <w:t xml:space="preserve">on energy policy </w:t>
      </w:r>
      <w:r w:rsidR="00E61032">
        <w:rPr>
          <w:iCs/>
        </w:rPr>
        <w:t>and the impact of</w:t>
      </w:r>
      <w:r>
        <w:rPr>
          <w:iCs/>
        </w:rPr>
        <w:t xml:space="preserve"> </w:t>
      </w:r>
      <w:r w:rsidR="00E61032">
        <w:rPr>
          <w:iCs/>
        </w:rPr>
        <w:t xml:space="preserve">energy policies on </w:t>
      </w:r>
      <w:r>
        <w:rPr>
          <w:iCs/>
        </w:rPr>
        <w:t xml:space="preserve">defense </w:t>
      </w:r>
      <w:r w:rsidR="00E61032">
        <w:rPr>
          <w:iCs/>
        </w:rPr>
        <w:t>capabilities</w:t>
      </w:r>
      <w:r w:rsidR="00163F9C">
        <w:rPr>
          <w:iCs/>
        </w:rPr>
        <w:t>.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w:t>
      </w:r>
      <w:r w:rsidR="00CF176C">
        <w:rPr>
          <w:iCs/>
        </w:rPr>
        <w:t xml:space="preserve"> a</w:t>
      </w:r>
      <w:r w:rsidR="00686549">
        <w:rPr>
          <w:iCs/>
        </w:rPr>
        <w:t xml:space="preserve"> </w:t>
      </w:r>
      <w:r w:rsidR="00E61032">
        <w:rPr>
          <w:iCs/>
        </w:rPr>
        <w:t>unique</w:t>
      </w:r>
      <w:r w:rsidR="00CF176C">
        <w:rPr>
          <w:iCs/>
        </w:rPr>
        <w:t xml:space="preserve"> set of</w:t>
      </w:r>
      <w:r w:rsidR="00E61032">
        <w:rPr>
          <w:iCs/>
        </w:rPr>
        <w:t xml:space="preserve"> skills</w:t>
      </w:r>
      <w:r w:rsidR="00CF176C">
        <w:rPr>
          <w:iCs/>
        </w:rPr>
        <w:t>,</w:t>
      </w:r>
      <w:r w:rsidR="00E61032">
        <w:rPr>
          <w:iCs/>
        </w:rPr>
        <w:t xml:space="preserv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w:t>
      </w:r>
      <w:r w:rsidR="00E61032">
        <w:rPr>
          <w:iCs/>
        </w:rPr>
        <w:t xml:space="preserve"> missions and</w:t>
      </w:r>
      <w:r w:rsidR="00686549">
        <w:rPr>
          <w:iCs/>
        </w:rPr>
        <w:t xml:space="preserve"> lives are li</w:t>
      </w:r>
      <w:r w:rsidR="00163F9C">
        <w:rPr>
          <w:iCs/>
        </w:rPr>
        <w:t>terally</w:t>
      </w:r>
      <w:r w:rsidR="00E61032">
        <w:rPr>
          <w:iCs/>
        </w:rPr>
        <w:t xml:space="preserve"> always</w:t>
      </w:r>
      <w:r w:rsidR="00163F9C">
        <w:rPr>
          <w:iCs/>
        </w:rPr>
        <w:t xml:space="preserve"> at stak</w:t>
      </w:r>
      <w:r w:rsidR="00E61032">
        <w:rPr>
          <w:iCs/>
        </w:rPr>
        <w:t>e</w:t>
      </w:r>
      <w:r w:rsidR="00686549">
        <w:rPr>
          <w:iCs/>
        </w:rPr>
        <w:t xml:space="preserve">. </w:t>
      </w:r>
      <w:r w:rsidR="00C85933">
        <w:rPr>
          <w:iCs/>
        </w:rPr>
        <w:t xml:space="preserve">To accomplish this, good experimental design and responsive simulation implementation is vital.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w:t>
      </w:r>
      <w:r w:rsidR="00CF176C">
        <w:rPr>
          <w:iCs/>
        </w:rPr>
        <w:t xml:space="preserve">wide </w:t>
      </w:r>
      <w:r w:rsidR="00686549">
        <w:rPr>
          <w:iCs/>
        </w:rPr>
        <w:t>range of constraints and opportunities represented therein, e</w:t>
      </w:r>
      <w:r w:rsidR="00E61032">
        <w:rPr>
          <w:iCs/>
        </w:rPr>
        <w:t>specially those that are energy-dependent or energy-</w:t>
      </w:r>
      <w:r w:rsidR="00686549">
        <w:rPr>
          <w:iCs/>
        </w:rPr>
        <w:t>threatened. These matters are then considered in view of the needs of both</w:t>
      </w:r>
      <w:r w:rsidR="00CF176C">
        <w:rPr>
          <w:iCs/>
        </w:rPr>
        <w:t xml:space="preserve"> of </w:t>
      </w:r>
      <w:r w:rsidR="00686549">
        <w:rPr>
          <w:iCs/>
        </w:rPr>
        <w:t>the "end users"</w:t>
      </w:r>
      <w:r w:rsidR="00E61032">
        <w:rPr>
          <w:iCs/>
        </w:rPr>
        <w:t>:</w:t>
      </w:r>
      <w:r w:rsidR="00686549">
        <w:rPr>
          <w:iCs/>
        </w:rPr>
        <w:t xml:space="preserve"> warfighters and the </w:t>
      </w:r>
      <w:r w:rsidR="00E61032">
        <w:rPr>
          <w:iCs/>
        </w:rPr>
        <w:t>government decision-makers</w:t>
      </w:r>
      <w:r w:rsidR="00686549">
        <w:rPr>
          <w:iCs/>
        </w:rPr>
        <w:t xml:space="preserve">. A number of experimental </w:t>
      </w:r>
      <w:r w:rsidR="00163F9C">
        <w:rPr>
          <w:iCs/>
        </w:rPr>
        <w:t xml:space="preserve">explicatory </w:t>
      </w:r>
      <w:r w:rsidR="00686549">
        <w:rPr>
          <w:iCs/>
        </w:rPr>
        <w:t>designs are then proffered, described</w:t>
      </w:r>
      <w:r w:rsidR="00E61032">
        <w:rPr>
          <w:iCs/>
        </w:rPr>
        <w:t>,</w:t>
      </w:r>
      <w:r w:rsidR="00686549">
        <w:rPr>
          <w:iCs/>
        </w:rPr>
        <w:t xml:space="preserve">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E61032">
        <w:rPr>
          <w:iCs/>
        </w:rPr>
        <w:t>assure</w:t>
      </w:r>
      <w:r w:rsidR="0034696D">
        <w:rPr>
          <w:iCs/>
        </w:rPr>
        <w:t xml:space="preserve"> the</w:t>
      </w:r>
      <w:r w:rsidR="00EB2A9D">
        <w:rPr>
          <w:iCs/>
        </w:rPr>
        <w:t>ir</w:t>
      </w:r>
      <w:r w:rsidR="0034696D">
        <w:rPr>
          <w:iCs/>
        </w:rPr>
        <w:t xml:space="preserve"> </w:t>
      </w:r>
      <w:r w:rsidR="00C85933">
        <w:rPr>
          <w:iCs/>
        </w:rPr>
        <w:t>unassailable</w:t>
      </w:r>
      <w:r w:rsidR="00EB2A9D">
        <w:rPr>
          <w:iCs/>
        </w:rPr>
        <w:t xml:space="preserve"> </w:t>
      </w:r>
      <w:r w:rsidR="0034696D">
        <w:rPr>
          <w:iCs/>
        </w:rPr>
        <w:t>valid</w:t>
      </w:r>
      <w:r w:rsidR="00EB2A9D">
        <w:rPr>
          <w:iCs/>
        </w:rPr>
        <w:t>ity</w:t>
      </w:r>
      <w:r w:rsidR="0034696D">
        <w:rPr>
          <w:iCs/>
        </w:rPr>
        <w:t xml:space="preserve"> </w:t>
      </w:r>
      <w:r w:rsidR="00C85933">
        <w:rPr>
          <w:iCs/>
        </w:rPr>
        <w:t xml:space="preserve">in a </w:t>
      </w:r>
      <w:r w:rsidR="00CF176C">
        <w:rPr>
          <w:iCs/>
        </w:rPr>
        <w:t>quest</w:t>
      </w:r>
      <w:r w:rsidR="00C85933">
        <w:rPr>
          <w:iCs/>
        </w:rPr>
        <w:t xml:space="preserve"> that seeks unbiased insights</w:t>
      </w:r>
      <w:r w:rsidR="0034696D">
        <w:rPr>
          <w:iCs/>
        </w:rPr>
        <w:t>.  The goal set forth is to provide decision-makers a</w:t>
      </w:r>
      <w:r w:rsidR="00CF176C">
        <w:rPr>
          <w:iCs/>
        </w:rPr>
        <w:t>n overview of</w:t>
      </w:r>
      <w:r w:rsidR="0034696D">
        <w:rPr>
          <w:iCs/>
        </w:rPr>
        <w:t xml:space="preserve">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alternative</w:t>
      </w:r>
      <w:r w:rsidR="00C85933">
        <w:rPr>
          <w:iCs/>
        </w:rPr>
        <w:t xml:space="preserve"> design</w:t>
      </w:r>
      <w:r w:rsidR="0034696D">
        <w:rPr>
          <w:iCs/>
        </w:rPr>
        <w:t>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w:t>
      </w:r>
      <w:r w:rsidRPr="0098478C">
        <w:rPr>
          <w:sz w:val="20"/>
          <w:szCs w:val="20"/>
        </w:rPr>
        <w:lastRenderedPageBreak/>
        <w:t xml:space="preserve">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3E8" w:rsidRDefault="00B603E8" w:rsidP="004B4C30">
      <w:r>
        <w:separator/>
      </w:r>
    </w:p>
  </w:endnote>
  <w:endnote w:type="continuationSeparator" w:id="0">
    <w:p w:rsidR="00B603E8" w:rsidRDefault="00B603E8"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6E0D7E">
      <w:rPr>
        <w:i/>
        <w:sz w:val="18"/>
        <w:szCs w:val="18"/>
      </w:rPr>
      <w:fldChar w:fldCharType="begin"/>
    </w:r>
    <w:r>
      <w:rPr>
        <w:i/>
        <w:sz w:val="18"/>
        <w:szCs w:val="18"/>
      </w:rPr>
      <w:instrText>PAGE</w:instrText>
    </w:r>
    <w:r w:rsidR="006E0D7E">
      <w:rPr>
        <w:i/>
        <w:sz w:val="18"/>
        <w:szCs w:val="18"/>
      </w:rPr>
      <w:fldChar w:fldCharType="separate"/>
    </w:r>
    <w:r w:rsidR="00CF176C">
      <w:rPr>
        <w:i/>
        <w:noProof/>
        <w:sz w:val="18"/>
        <w:szCs w:val="18"/>
      </w:rPr>
      <w:t>1</w:t>
    </w:r>
    <w:r w:rsidR="006E0D7E">
      <w:rPr>
        <w:i/>
        <w:sz w:val="18"/>
        <w:szCs w:val="18"/>
      </w:rPr>
      <w:fldChar w:fldCharType="end"/>
    </w:r>
    <w:r>
      <w:rPr>
        <w:i/>
        <w:sz w:val="18"/>
        <w:szCs w:val="18"/>
      </w:rPr>
      <w:t xml:space="preserve"> of </w:t>
    </w:r>
    <w:r w:rsidR="006E0D7E">
      <w:rPr>
        <w:i/>
        <w:sz w:val="18"/>
        <w:szCs w:val="18"/>
      </w:rPr>
      <w:fldChar w:fldCharType="begin"/>
    </w:r>
    <w:r>
      <w:rPr>
        <w:i/>
        <w:sz w:val="18"/>
        <w:szCs w:val="18"/>
      </w:rPr>
      <w:instrText>NUMPAGES</w:instrText>
    </w:r>
    <w:r w:rsidR="006E0D7E">
      <w:rPr>
        <w:i/>
        <w:sz w:val="18"/>
        <w:szCs w:val="18"/>
      </w:rPr>
      <w:fldChar w:fldCharType="separate"/>
    </w:r>
    <w:r w:rsidR="00CF176C">
      <w:rPr>
        <w:i/>
        <w:noProof/>
        <w:sz w:val="18"/>
        <w:szCs w:val="18"/>
      </w:rPr>
      <w:t>2</w:t>
    </w:r>
    <w:r w:rsidR="006E0D7E">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3E8" w:rsidRDefault="00B603E8" w:rsidP="004B4C30">
      <w:r>
        <w:separator/>
      </w:r>
    </w:p>
  </w:footnote>
  <w:footnote w:type="continuationSeparator" w:id="0">
    <w:p w:rsidR="00B603E8" w:rsidRDefault="00B603E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03E8"/>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76A6D"/>
    <w:rsid w:val="00C841BE"/>
    <w:rsid w:val="00C84EFE"/>
    <w:rsid w:val="00C85933"/>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1032"/>
    <w:rsid w:val="00E67171"/>
    <w:rsid w:val="00E72832"/>
    <w:rsid w:val="00E823A7"/>
    <w:rsid w:val="00E843BA"/>
    <w:rsid w:val="00E858E7"/>
    <w:rsid w:val="00E872EB"/>
    <w:rsid w:val="00E941F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68DA-4B05-4E4A-B8F9-A22EEC9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993</Words>
  <Characters>5476</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4</cp:revision>
  <cp:lastPrinted>2023-03-04T18:58:00Z</cp:lastPrinted>
  <dcterms:created xsi:type="dcterms:W3CDTF">2023-03-05T19:12:00Z</dcterms:created>
  <dcterms:modified xsi:type="dcterms:W3CDTF">2023-03-05T19:30:00Z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