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8309" w:type="dxa"/>
        <w:tblInd w:w="558" w:type="dxa"/>
        <w:tblLook w:val="0000"/>
      </w:tblPr>
      <w:tblGrid>
        <w:gridCol w:w="2880"/>
        <w:gridCol w:w="2610"/>
        <w:gridCol w:w="2819"/>
      </w:tblGrid>
      <w:tr w:rsidR="009F564B" w:rsidRPr="000C1512" w:rsidTr="00026C73">
        <w:trPr>
          <w:trHeight w:hRule="exact" w:val="273"/>
        </w:trPr>
        <w:tc>
          <w:tcPr>
            <w:tcW w:w="2880" w:type="dxa"/>
            <w:shd w:val="clear" w:color="auto" w:fill="auto"/>
            <w:vAlign w:val="center"/>
          </w:tcPr>
          <w:p w:rsidR="009F564B" w:rsidRPr="000C1512" w:rsidRDefault="009F564B" w:rsidP="000C1512">
            <w:pPr>
              <w:ind w:left="-828" w:firstLine="828"/>
              <w:jc w:val="center"/>
              <w:rPr>
                <w:b/>
                <w:bCs/>
                <w:iCs/>
              </w:rPr>
            </w:pPr>
            <w:r w:rsidRPr="000C1512">
              <w:rPr>
                <w:b/>
                <w:bCs/>
                <w:iCs/>
              </w:rPr>
              <w:t>Dan M. Davis</w:t>
            </w:r>
          </w:p>
        </w:tc>
        <w:tc>
          <w:tcPr>
            <w:tcW w:w="2610" w:type="dxa"/>
            <w:shd w:val="clear" w:color="auto" w:fill="auto"/>
            <w:vAlign w:val="center"/>
          </w:tcPr>
          <w:p w:rsidR="009F564B" w:rsidRPr="000C1512" w:rsidRDefault="009F564B" w:rsidP="000C1512">
            <w:pPr>
              <w:ind w:left="-828" w:firstLine="828"/>
              <w:jc w:val="center"/>
              <w:rPr>
                <w:b/>
                <w:bCs/>
                <w:iCs/>
              </w:rPr>
            </w:pPr>
            <w:r w:rsidRPr="000C1512">
              <w:rPr>
                <w:b/>
                <w:bCs/>
                <w:iCs/>
              </w:rPr>
              <w:t>Frederica J. Stassi</w:t>
            </w:r>
          </w:p>
        </w:tc>
        <w:tc>
          <w:tcPr>
            <w:tcW w:w="2819" w:type="dxa"/>
          </w:tcPr>
          <w:p w:rsidR="009F564B" w:rsidRPr="00FD729F" w:rsidRDefault="009F564B" w:rsidP="008835BF">
            <w:pPr>
              <w:jc w:val="center"/>
              <w:rPr>
                <w:b/>
                <w:bCs/>
                <w:iCs/>
              </w:rPr>
            </w:pPr>
            <w:r w:rsidRPr="00FD729F">
              <w:rPr>
                <w:b/>
                <w:bCs/>
                <w:iCs/>
              </w:rPr>
              <w:t>Mark C. Davis</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610" w:type="dxa"/>
            <w:shd w:val="clear" w:color="auto" w:fill="auto"/>
            <w:vAlign w:val="center"/>
          </w:tcPr>
          <w:p w:rsidR="009F564B" w:rsidRDefault="009F564B" w:rsidP="000C1512">
            <w:pPr>
              <w:ind w:left="-828" w:firstLine="828"/>
              <w:jc w:val="center"/>
            </w:pPr>
            <w:r>
              <w:rPr>
                <w:b/>
                <w:bCs/>
                <w:iCs/>
              </w:rPr>
              <w:t>Science Educ.</w:t>
            </w:r>
            <w:r>
              <w:rPr>
                <w:b/>
                <w:bCs/>
                <w:iCs/>
                <w:sz w:val="14"/>
              </w:rPr>
              <w:t xml:space="preserve"> </w:t>
            </w:r>
            <w:r>
              <w:rPr>
                <w:b/>
                <w:bCs/>
                <w:iCs/>
              </w:rPr>
              <w:t>Analyst</w:t>
            </w:r>
          </w:p>
        </w:tc>
        <w:tc>
          <w:tcPr>
            <w:tcW w:w="2819" w:type="dxa"/>
          </w:tcPr>
          <w:p w:rsidR="009F564B" w:rsidRPr="00FD729F" w:rsidRDefault="009F564B" w:rsidP="008835BF">
            <w:pPr>
              <w:ind w:hanging="17"/>
              <w:jc w:val="center"/>
              <w:rPr>
                <w:b/>
                <w:bCs/>
                <w:iCs/>
              </w:rPr>
            </w:pPr>
            <w:r w:rsidRPr="00FD729F">
              <w:rPr>
                <w:b/>
                <w:bCs/>
                <w:iCs/>
              </w:rPr>
              <w:t>Wood Duck Research, Inc.</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Los Angeles, California</w:t>
            </w:r>
          </w:p>
        </w:tc>
        <w:tc>
          <w:tcPr>
            <w:tcW w:w="2610" w:type="dxa"/>
            <w:shd w:val="clear" w:color="auto" w:fill="auto"/>
            <w:vAlign w:val="center"/>
          </w:tcPr>
          <w:p w:rsidR="009F564B" w:rsidRDefault="009F564B" w:rsidP="000C1512">
            <w:pPr>
              <w:ind w:left="-828" w:firstLine="828"/>
              <w:jc w:val="center"/>
              <w:rPr>
                <w:b/>
                <w:bCs/>
                <w:iCs/>
              </w:rPr>
            </w:pPr>
            <w:r>
              <w:rPr>
                <w:b/>
                <w:bCs/>
                <w:iCs/>
              </w:rPr>
              <w:t>Lompoc, California</w:t>
            </w:r>
          </w:p>
        </w:tc>
        <w:tc>
          <w:tcPr>
            <w:tcW w:w="2819" w:type="dxa"/>
          </w:tcPr>
          <w:p w:rsidR="009F564B" w:rsidRPr="00FD729F" w:rsidRDefault="009F564B" w:rsidP="008835BF">
            <w:pPr>
              <w:jc w:val="center"/>
              <w:rPr>
                <w:b/>
                <w:bCs/>
                <w:iCs/>
              </w:rPr>
            </w:pPr>
            <w:r w:rsidRPr="00FD729F">
              <w:rPr>
                <w:b/>
                <w:bCs/>
                <w:iCs/>
              </w:rPr>
              <w:t>Mooresville, North Carolina</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dmdavis@acm.org</w:t>
            </w:r>
          </w:p>
        </w:tc>
        <w:tc>
          <w:tcPr>
            <w:tcW w:w="2610" w:type="dxa"/>
            <w:shd w:val="clear" w:color="auto" w:fill="auto"/>
            <w:vAlign w:val="center"/>
          </w:tcPr>
          <w:p w:rsidR="009F564B" w:rsidRDefault="009F564B" w:rsidP="000C1512">
            <w:pPr>
              <w:ind w:left="-828" w:firstLine="828"/>
              <w:jc w:val="center"/>
              <w:rPr>
                <w:b/>
                <w:bCs/>
                <w:iCs/>
              </w:rPr>
            </w:pPr>
            <w:r>
              <w:rPr>
                <w:b/>
                <w:bCs/>
                <w:iCs/>
              </w:rPr>
              <w:t>frjstassi@gmail.com</w:t>
            </w:r>
          </w:p>
        </w:tc>
        <w:tc>
          <w:tcPr>
            <w:tcW w:w="2819" w:type="dxa"/>
          </w:tcPr>
          <w:p w:rsidR="009F564B" w:rsidRPr="00FD729F" w:rsidRDefault="009F564B" w:rsidP="008835BF">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090EB0">
      <w:pPr>
        <w:pStyle w:val="Heading1"/>
        <w:jc w:val="both"/>
        <w:rPr>
          <w:b w:val="0"/>
          <w:iCs/>
        </w:rPr>
      </w:pPr>
      <w:r>
        <w:rPr>
          <w:b w:val="0"/>
          <w:iCs/>
        </w:rPr>
        <w:t xml:space="preserve">This paper reviews the issues of deficiencies in metacognition and critical thinking skills in today’s </w:t>
      </w:r>
      <w:r w:rsidR="00635719">
        <w:rPr>
          <w:b w:val="0"/>
          <w:iCs/>
        </w:rPr>
        <w:t>workforce</w:t>
      </w:r>
      <w:r>
        <w:rPr>
          <w:b w:val="0"/>
          <w:iCs/>
        </w:rPr>
        <w:t xml:space="preserve">, identifies some current constraints on effectively addressing those issues, and reports on advances in virtual human interfaces that can enhance efforts to </w:t>
      </w:r>
      <w:r w:rsidR="00635719">
        <w:rPr>
          <w:b w:val="0"/>
          <w:iCs/>
        </w:rPr>
        <w:t xml:space="preserve">address </w:t>
      </w:r>
      <w:r>
        <w:rPr>
          <w:b w:val="0"/>
          <w:iCs/>
        </w:rPr>
        <w:t xml:space="preserve">current educational impediments. The authors assert that these approaches would not only be </w:t>
      </w:r>
      <w:r w:rsidR="00635719">
        <w:rPr>
          <w:b w:val="0"/>
          <w:iCs/>
        </w:rPr>
        <w:t xml:space="preserve">effective </w:t>
      </w:r>
      <w:r>
        <w:rPr>
          <w:b w:val="0"/>
          <w:iCs/>
        </w:rPr>
        <w:t xml:space="preserve">at all levels of education, they present their case that instantiating these pedagogical </w:t>
      </w:r>
      <w:r w:rsidR="00635719">
        <w:rPr>
          <w:b w:val="0"/>
          <w:iCs/>
        </w:rPr>
        <w:t>approaches</w:t>
      </w:r>
      <w:r>
        <w:rPr>
          <w:b w:val="0"/>
          <w:iCs/>
        </w:rPr>
        <w:t xml:space="preserve"> at the earliest point in the educational evolution of the student capabilities would bear the most fruit in operational settings.  The paper opens with a view of the need for both metacognition and critical thinking skills in today’s environment and a report on the number of leaders, analysts, and staff who decry the current state of those skills.  The ability and need to begin this training with the youngest students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hampering the training and education required.  Some of the obstacles addressed are class sizes, operational schedule overloads, geographic isolations, and personnel proclivities, preferences, and proficiencies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090EB0">
      <w:pPr>
        <w:pStyle w:val="Heading1"/>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 xml:space="preserve">Professor William McComas and focused on the development of science standards for the State of California. She received a B.A. degree from Tabor college Hillsboro, Kansas as well as an M.A. Degree and an </w:t>
      </w:r>
      <w:proofErr w:type="gramStart"/>
      <w:r>
        <w:rPr>
          <w:bCs/>
        </w:rPr>
        <w:t>Ed.D.,</w:t>
      </w:r>
      <w:proofErr w:type="gramEnd"/>
      <w:r>
        <w:rPr>
          <w:bCs/>
        </w:rPr>
        <w:t xml:space="preserve"> both from the University of Southern California in Los Angeles.</w:t>
      </w:r>
    </w:p>
    <w:p w:rsidR="009A714E"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0C1512" w:rsidRDefault="000C1512" w:rsidP="000C1512">
      <w:pPr>
        <w:spacing w:before="120"/>
        <w:jc w:val="both"/>
      </w:pPr>
    </w:p>
    <w:sectPr w:rsidR="000C1512"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0EB" w:rsidRDefault="00FE30EB" w:rsidP="004B4C30">
      <w:r>
        <w:separator/>
      </w:r>
    </w:p>
  </w:endnote>
  <w:endnote w:type="continuationSeparator" w:id="0">
    <w:p w:rsidR="00FE30EB" w:rsidRDefault="00FE30EB"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090EB0">
    <w:pPr>
      <w:pStyle w:val="Footer"/>
      <w:tabs>
        <w:tab w:val="clear" w:pos="8640"/>
        <w:tab w:val="right" w:pos="10080"/>
      </w:tabs>
    </w:pPr>
    <w:r>
      <w:rPr>
        <w:i/>
        <w:sz w:val="18"/>
        <w:szCs w:val="18"/>
      </w:rPr>
      <w:t xml:space="preserve">2020 Paper No. </w:t>
    </w:r>
    <w:proofErr w:type="gramStart"/>
    <w:r>
      <w:rPr>
        <w:i/>
        <w:sz w:val="18"/>
        <w:szCs w:val="18"/>
      </w:rPr>
      <w:t>TBD  Page</w:t>
    </w:r>
    <w:proofErr w:type="gramEnd"/>
    <w:r>
      <w:rPr>
        <w:i/>
        <w:sz w:val="18"/>
        <w:szCs w:val="18"/>
      </w:rPr>
      <w:t xml:space="preserve"> </w:t>
    </w:r>
    <w:r w:rsidR="000C6F43">
      <w:rPr>
        <w:i/>
        <w:sz w:val="18"/>
        <w:szCs w:val="18"/>
      </w:rPr>
      <w:fldChar w:fldCharType="begin"/>
    </w:r>
    <w:r>
      <w:rPr>
        <w:i/>
        <w:sz w:val="18"/>
        <w:szCs w:val="18"/>
      </w:rPr>
      <w:instrText>PAGE</w:instrText>
    </w:r>
    <w:r w:rsidR="000C6F43">
      <w:rPr>
        <w:i/>
        <w:sz w:val="18"/>
        <w:szCs w:val="18"/>
      </w:rPr>
      <w:fldChar w:fldCharType="separate"/>
    </w:r>
    <w:r w:rsidR="0096378A">
      <w:rPr>
        <w:i/>
        <w:noProof/>
        <w:sz w:val="18"/>
        <w:szCs w:val="18"/>
      </w:rPr>
      <w:t>2</w:t>
    </w:r>
    <w:r w:rsidR="000C6F43">
      <w:rPr>
        <w:i/>
        <w:sz w:val="18"/>
        <w:szCs w:val="18"/>
      </w:rPr>
      <w:fldChar w:fldCharType="end"/>
    </w:r>
    <w:r>
      <w:rPr>
        <w:i/>
        <w:sz w:val="18"/>
        <w:szCs w:val="18"/>
      </w:rPr>
      <w:t xml:space="preserve"> of </w:t>
    </w:r>
    <w:r w:rsidR="000C6F43">
      <w:rPr>
        <w:i/>
        <w:sz w:val="18"/>
        <w:szCs w:val="18"/>
      </w:rPr>
      <w:fldChar w:fldCharType="begin"/>
    </w:r>
    <w:r>
      <w:rPr>
        <w:i/>
        <w:sz w:val="18"/>
        <w:szCs w:val="18"/>
      </w:rPr>
      <w:instrText>NUMPAGES</w:instrText>
    </w:r>
    <w:r w:rsidR="000C6F43">
      <w:rPr>
        <w:i/>
        <w:sz w:val="18"/>
        <w:szCs w:val="18"/>
      </w:rPr>
      <w:fldChar w:fldCharType="separate"/>
    </w:r>
    <w:r w:rsidR="0096378A">
      <w:rPr>
        <w:i/>
        <w:noProof/>
        <w:sz w:val="18"/>
        <w:szCs w:val="18"/>
      </w:rPr>
      <w:t>2</w:t>
    </w:r>
    <w:r w:rsidR="000C6F43">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0EB" w:rsidRDefault="00FE30EB" w:rsidP="004B4C30">
      <w:r>
        <w:separator/>
      </w:r>
    </w:p>
  </w:footnote>
  <w:footnote w:type="continuationSeparator" w:id="0">
    <w:p w:rsidR="00FE30EB" w:rsidRDefault="00FE30E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90EB0"/>
    <w:rsid w:val="000C1512"/>
    <w:rsid w:val="000C6F43"/>
    <w:rsid w:val="0013570D"/>
    <w:rsid w:val="003528BA"/>
    <w:rsid w:val="004B4C30"/>
    <w:rsid w:val="00573CFD"/>
    <w:rsid w:val="005841E9"/>
    <w:rsid w:val="005F112E"/>
    <w:rsid w:val="00635719"/>
    <w:rsid w:val="007C4F55"/>
    <w:rsid w:val="0096378A"/>
    <w:rsid w:val="00991445"/>
    <w:rsid w:val="009A714E"/>
    <w:rsid w:val="009F564B"/>
    <w:rsid w:val="00B730B4"/>
    <w:rsid w:val="00C03066"/>
    <w:rsid w:val="00D33BE5"/>
    <w:rsid w:val="00FE3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2020-02-21T20:54:00Z</cp:lastPrinted>
  <dcterms:created xsi:type="dcterms:W3CDTF">2020-02-21T20:57:00Z</dcterms:created>
  <dcterms:modified xsi:type="dcterms:W3CDTF">2020-02-21T20:57:00Z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