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8309" w:type="dxa"/>
        <w:tblInd w:w="558" w:type="dxa"/>
        <w:tblLook w:val="0000"/>
      </w:tblPr>
      <w:tblGrid>
        <w:gridCol w:w="2880"/>
        <w:gridCol w:w="2610"/>
        <w:gridCol w:w="2819"/>
      </w:tblGrid>
      <w:tr w:rsidR="009F564B" w:rsidRPr="000C1512" w:rsidTr="00026C73">
        <w:trPr>
          <w:trHeight w:hRule="exact" w:val="273"/>
        </w:trPr>
        <w:tc>
          <w:tcPr>
            <w:tcW w:w="2880" w:type="dxa"/>
            <w:shd w:val="clear" w:color="auto" w:fill="auto"/>
            <w:vAlign w:val="center"/>
          </w:tcPr>
          <w:p w:rsidR="009F564B" w:rsidRPr="000C1512" w:rsidRDefault="009F564B" w:rsidP="000C1512">
            <w:pPr>
              <w:ind w:left="-828" w:firstLine="828"/>
              <w:jc w:val="center"/>
              <w:rPr>
                <w:b/>
                <w:bCs/>
                <w:iCs/>
              </w:rPr>
            </w:pPr>
            <w:r w:rsidRPr="000C1512">
              <w:rPr>
                <w:b/>
                <w:bCs/>
                <w:iCs/>
              </w:rPr>
              <w:t>Dan M. Davis</w:t>
            </w:r>
          </w:p>
        </w:tc>
        <w:tc>
          <w:tcPr>
            <w:tcW w:w="2610" w:type="dxa"/>
            <w:shd w:val="clear" w:color="auto" w:fill="auto"/>
            <w:vAlign w:val="center"/>
          </w:tcPr>
          <w:p w:rsidR="009F564B" w:rsidRPr="000C1512" w:rsidRDefault="009F564B" w:rsidP="000C1512">
            <w:pPr>
              <w:ind w:left="-828" w:firstLine="828"/>
              <w:jc w:val="center"/>
              <w:rPr>
                <w:b/>
                <w:bCs/>
                <w:iCs/>
              </w:rPr>
            </w:pPr>
            <w:r w:rsidRPr="000C1512">
              <w:rPr>
                <w:b/>
                <w:bCs/>
                <w:iCs/>
              </w:rPr>
              <w:t>Frederica J. Stassi</w:t>
            </w:r>
          </w:p>
        </w:tc>
        <w:tc>
          <w:tcPr>
            <w:tcW w:w="2819" w:type="dxa"/>
          </w:tcPr>
          <w:p w:rsidR="009F564B" w:rsidRPr="00FD729F" w:rsidRDefault="009F564B" w:rsidP="008835BF">
            <w:pPr>
              <w:jc w:val="center"/>
              <w:rPr>
                <w:b/>
                <w:bCs/>
                <w:iCs/>
              </w:rPr>
            </w:pPr>
            <w:r w:rsidRPr="00FD729F">
              <w:rPr>
                <w:b/>
                <w:bCs/>
                <w:iCs/>
              </w:rPr>
              <w:t>Mark C. Davis</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610" w:type="dxa"/>
            <w:shd w:val="clear" w:color="auto" w:fill="auto"/>
            <w:vAlign w:val="center"/>
          </w:tcPr>
          <w:p w:rsidR="009F564B" w:rsidRDefault="009F564B" w:rsidP="000C1512">
            <w:pPr>
              <w:ind w:left="-828" w:firstLine="828"/>
              <w:jc w:val="center"/>
            </w:pPr>
            <w:r>
              <w:rPr>
                <w:b/>
                <w:bCs/>
                <w:iCs/>
              </w:rPr>
              <w:t>Science Educ.</w:t>
            </w:r>
            <w:r>
              <w:rPr>
                <w:b/>
                <w:bCs/>
                <w:iCs/>
                <w:sz w:val="14"/>
              </w:rPr>
              <w:t xml:space="preserve"> </w:t>
            </w:r>
            <w:r>
              <w:rPr>
                <w:b/>
                <w:bCs/>
                <w:iCs/>
              </w:rPr>
              <w:t>Analyst</w:t>
            </w:r>
          </w:p>
        </w:tc>
        <w:tc>
          <w:tcPr>
            <w:tcW w:w="2819" w:type="dxa"/>
          </w:tcPr>
          <w:p w:rsidR="009F564B" w:rsidRPr="00FD729F" w:rsidRDefault="009F564B" w:rsidP="008835BF">
            <w:pPr>
              <w:ind w:hanging="17"/>
              <w:jc w:val="center"/>
              <w:rPr>
                <w:b/>
                <w:bCs/>
                <w:iCs/>
              </w:rPr>
            </w:pPr>
            <w:r w:rsidRPr="00FD729F">
              <w:rPr>
                <w:b/>
                <w:bCs/>
                <w:iCs/>
              </w:rPr>
              <w:t>Wood Duck Research, Inc.</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Los Angeles, California</w:t>
            </w:r>
          </w:p>
        </w:tc>
        <w:tc>
          <w:tcPr>
            <w:tcW w:w="2610" w:type="dxa"/>
            <w:shd w:val="clear" w:color="auto" w:fill="auto"/>
            <w:vAlign w:val="center"/>
          </w:tcPr>
          <w:p w:rsidR="009F564B" w:rsidRDefault="009F564B" w:rsidP="000C1512">
            <w:pPr>
              <w:ind w:left="-828" w:firstLine="828"/>
              <w:jc w:val="center"/>
              <w:rPr>
                <w:b/>
                <w:bCs/>
                <w:iCs/>
              </w:rPr>
            </w:pPr>
            <w:r>
              <w:rPr>
                <w:b/>
                <w:bCs/>
                <w:iCs/>
              </w:rPr>
              <w:t>Lompoc, California</w:t>
            </w:r>
          </w:p>
        </w:tc>
        <w:tc>
          <w:tcPr>
            <w:tcW w:w="2819" w:type="dxa"/>
          </w:tcPr>
          <w:p w:rsidR="009F564B" w:rsidRPr="00FD729F" w:rsidRDefault="009F564B" w:rsidP="008835BF">
            <w:pPr>
              <w:jc w:val="center"/>
              <w:rPr>
                <w:b/>
                <w:bCs/>
                <w:iCs/>
              </w:rPr>
            </w:pPr>
            <w:r w:rsidRPr="00FD729F">
              <w:rPr>
                <w:b/>
                <w:bCs/>
                <w:iCs/>
              </w:rPr>
              <w:t>Mooresville, North Carolina</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dmdavis@acm.org</w:t>
            </w:r>
          </w:p>
        </w:tc>
        <w:tc>
          <w:tcPr>
            <w:tcW w:w="2610" w:type="dxa"/>
            <w:shd w:val="clear" w:color="auto" w:fill="auto"/>
            <w:vAlign w:val="center"/>
          </w:tcPr>
          <w:p w:rsidR="009F564B" w:rsidRDefault="009F564B" w:rsidP="000C1512">
            <w:pPr>
              <w:ind w:left="-828" w:firstLine="828"/>
              <w:jc w:val="center"/>
              <w:rPr>
                <w:b/>
                <w:bCs/>
                <w:iCs/>
              </w:rPr>
            </w:pPr>
            <w:r>
              <w:rPr>
                <w:b/>
                <w:bCs/>
                <w:iCs/>
              </w:rPr>
              <w:t>frjstassi@gmail.com</w:t>
            </w:r>
          </w:p>
        </w:tc>
        <w:tc>
          <w:tcPr>
            <w:tcW w:w="2819" w:type="dxa"/>
          </w:tcPr>
          <w:p w:rsidR="009F564B" w:rsidRPr="00FD729F" w:rsidRDefault="009F564B" w:rsidP="008835BF">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090EB0">
      <w:pPr>
        <w:pStyle w:val="Heading1"/>
        <w:jc w:val="both"/>
        <w:rPr>
          <w:b w:val="0"/>
          <w:iCs/>
        </w:rPr>
      </w:pPr>
      <w:r>
        <w:rPr>
          <w:b w:val="0"/>
          <w:iCs/>
        </w:rPr>
        <w:t xml:space="preserve">This paper reviews the </w:t>
      </w:r>
      <w:r w:rsidR="00080A72">
        <w:rPr>
          <w:b w:val="0"/>
          <w:iCs/>
        </w:rPr>
        <w:t>needs of and opportunities for improving</w:t>
      </w:r>
      <w:r>
        <w:rPr>
          <w:b w:val="0"/>
          <w:iCs/>
        </w:rPr>
        <w:t xml:space="preserve"> metacognition and critical thinking in today’s </w:t>
      </w:r>
      <w:r w:rsidR="00080A72">
        <w:rPr>
          <w:b w:val="0"/>
          <w:iCs/>
        </w:rPr>
        <w:t>personnel. It</w:t>
      </w:r>
      <w:r>
        <w:rPr>
          <w:b w:val="0"/>
          <w:iCs/>
        </w:rPr>
        <w:t xml:space="preserve"> identifies some current constraints on effectively addressing those issues, and reports on advances in virtual human interfaces that can enhance efforts to </w:t>
      </w:r>
      <w:r w:rsidR="00080A72">
        <w:rPr>
          <w:b w:val="0"/>
          <w:iCs/>
        </w:rPr>
        <w:t>augment</w:t>
      </w:r>
      <w:r w:rsidR="00635719">
        <w:rPr>
          <w:b w:val="0"/>
          <w:iCs/>
        </w:rPr>
        <w:t xml:space="preserve"> </w:t>
      </w:r>
      <w:r>
        <w:rPr>
          <w:b w:val="0"/>
          <w:iCs/>
        </w:rPr>
        <w:t xml:space="preserve">current educational </w:t>
      </w:r>
      <w:r w:rsidR="00080A72">
        <w:rPr>
          <w:b w:val="0"/>
          <w:iCs/>
        </w:rPr>
        <w:t>approaches</w:t>
      </w:r>
      <w:r>
        <w:rPr>
          <w:b w:val="0"/>
          <w:iCs/>
        </w:rPr>
        <w:t xml:space="preserve">. The authors assert that these </w:t>
      </w:r>
      <w:r w:rsidR="00080A72">
        <w:rPr>
          <w:b w:val="0"/>
          <w:iCs/>
        </w:rPr>
        <w:t>new techniques</w:t>
      </w:r>
      <w:r>
        <w:rPr>
          <w:b w:val="0"/>
          <w:iCs/>
        </w:rPr>
        <w:t xml:space="preserve"> would be </w:t>
      </w:r>
      <w:r w:rsidR="00080A72">
        <w:rPr>
          <w:b w:val="0"/>
          <w:iCs/>
        </w:rPr>
        <w:t>beneficial</w:t>
      </w:r>
      <w:r w:rsidR="00635719">
        <w:rPr>
          <w:b w:val="0"/>
          <w:iCs/>
        </w:rPr>
        <w:t xml:space="preserve"> </w:t>
      </w:r>
      <w:r w:rsidR="00080A72">
        <w:rPr>
          <w:b w:val="0"/>
          <w:iCs/>
        </w:rPr>
        <w:t>to Warfighters and</w:t>
      </w:r>
      <w:r>
        <w:rPr>
          <w:b w:val="0"/>
          <w:iCs/>
        </w:rPr>
        <w:t xml:space="preserve"> they present their case that instantiating these pedagogical </w:t>
      </w:r>
      <w:r w:rsidR="00635719">
        <w:rPr>
          <w:b w:val="0"/>
          <w:iCs/>
        </w:rPr>
        <w:t>approaches</w:t>
      </w:r>
      <w:r>
        <w:rPr>
          <w:b w:val="0"/>
          <w:iCs/>
        </w:rPr>
        <w:t xml:space="preserve"> </w:t>
      </w:r>
      <w:r w:rsidR="00080A72">
        <w:rPr>
          <w:b w:val="0"/>
          <w:iCs/>
        </w:rPr>
        <w:t>would be best served by the use of emerging, but prenascent, proactive Natural Language Processing</w:t>
      </w:r>
      <w:r>
        <w:rPr>
          <w:b w:val="0"/>
          <w:iCs/>
        </w:rPr>
        <w:t xml:space="preserve">.  The paper opens with a view of the need for both metacognition and critical thinking skills in today’s </w:t>
      </w:r>
      <w:r w:rsidR="00080A72">
        <w:rPr>
          <w:b w:val="0"/>
          <w:iCs/>
        </w:rPr>
        <w:t xml:space="preserve">defense </w:t>
      </w:r>
      <w:r>
        <w:rPr>
          <w:b w:val="0"/>
          <w:iCs/>
        </w:rPr>
        <w:t xml:space="preserve">environment and a report on the number of leaders, analysts, and staff who decry the current state of those </w:t>
      </w:r>
      <w:r w:rsidR="00080A72">
        <w:rPr>
          <w:b w:val="0"/>
          <w:iCs/>
        </w:rPr>
        <w:t>abilities</w:t>
      </w:r>
      <w:r>
        <w:rPr>
          <w:b w:val="0"/>
          <w:iCs/>
        </w:rPr>
        <w:t xml:space="preserve">.  The </w:t>
      </w:r>
      <w:r w:rsidR="00080A72">
        <w:rPr>
          <w:b w:val="0"/>
          <w:iCs/>
        </w:rPr>
        <w:t>capability</w:t>
      </w:r>
      <w:r>
        <w:rPr>
          <w:b w:val="0"/>
          <w:iCs/>
        </w:rPr>
        <w:t xml:space="preserve"> and need to begin this </w:t>
      </w:r>
      <w:r w:rsidR="00080A72">
        <w:rPr>
          <w:b w:val="0"/>
          <w:iCs/>
        </w:rPr>
        <w:t>educational process</w:t>
      </w:r>
      <w:r>
        <w:rPr>
          <w:b w:val="0"/>
          <w:iCs/>
        </w:rPr>
        <w:t xml:space="preserve"> with the </w:t>
      </w:r>
      <w:proofErr w:type="spellStart"/>
      <w:r w:rsidR="009A5B9A">
        <w:rPr>
          <w:b w:val="0"/>
          <w:iCs/>
        </w:rPr>
        <w:t>the</w:t>
      </w:r>
      <w:proofErr w:type="spellEnd"/>
      <w:r w:rsidR="009A5B9A">
        <w:rPr>
          <w:b w:val="0"/>
          <w:iCs/>
        </w:rPr>
        <w:t xml:space="preserve"> Warfighters</w:t>
      </w:r>
      <w:r>
        <w:rPr>
          <w:b w:val="0"/>
          <w:iCs/>
        </w:rPr>
        <w:t xml:space="preserve"> is </w:t>
      </w:r>
      <w:r w:rsidR="00635719">
        <w:rPr>
          <w:b w:val="0"/>
          <w:iCs/>
        </w:rPr>
        <w:t>advanced</w:t>
      </w:r>
      <w:r>
        <w:rPr>
          <w:b w:val="0"/>
          <w:iCs/>
        </w:rPr>
        <w:t>.  Then, a review of the recognized pedagogical approaches to improving the</w:t>
      </w:r>
      <w:r w:rsidR="00635719">
        <w:rPr>
          <w:b w:val="0"/>
          <w:iCs/>
        </w:rPr>
        <w:t>se</w:t>
      </w:r>
      <w:r>
        <w:rPr>
          <w:b w:val="0"/>
          <w:iCs/>
        </w:rPr>
        <w:t xml:space="preserve"> proficiencies is </w:t>
      </w:r>
      <w:r w:rsidR="00635719">
        <w:rPr>
          <w:b w:val="0"/>
          <w:iCs/>
        </w:rPr>
        <w:t xml:space="preserve">countered </w:t>
      </w:r>
      <w:r>
        <w:rPr>
          <w:b w:val="0"/>
          <w:iCs/>
        </w:rPr>
        <w:t xml:space="preserve">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w:t>
      </w:r>
      <w:r w:rsidR="005F112E">
        <w:rPr>
          <w:b w:val="0"/>
          <w:iCs/>
        </w:rPr>
        <w:t xml:space="preserve">counteracting </w:t>
      </w:r>
      <w:r>
        <w:rPr>
          <w:b w:val="0"/>
          <w:iCs/>
        </w:rPr>
        <w:t xml:space="preserve">the obstacles currently </w:t>
      </w:r>
      <w:r w:rsidR="009A5B9A">
        <w:rPr>
          <w:b w:val="0"/>
          <w:iCs/>
        </w:rPr>
        <w:t xml:space="preserve">hampering the </w:t>
      </w:r>
      <w:r>
        <w:rPr>
          <w:b w:val="0"/>
          <w:iCs/>
        </w:rPr>
        <w:t>education required.  Some of th</w:t>
      </w:r>
      <w:r w:rsidR="009A5B9A">
        <w:rPr>
          <w:b w:val="0"/>
          <w:iCs/>
        </w:rPr>
        <w:t>e obstacles addressed are classroom scheduling</w:t>
      </w:r>
      <w:r>
        <w:rPr>
          <w:b w:val="0"/>
          <w:iCs/>
        </w:rPr>
        <w:t xml:space="preserve">, operational schedule overloads, geographic isolations, and personnel </w:t>
      </w:r>
      <w:r w:rsidR="009A5B9A">
        <w:rPr>
          <w:b w:val="0"/>
          <w:iCs/>
        </w:rPr>
        <w:t>personal characteristics</w:t>
      </w:r>
      <w:r>
        <w:rPr>
          <w:b w:val="0"/>
          <w:iCs/>
        </w:rPr>
        <w:t xml:space="preserve"> of both educator and student.  Recent research outcomes are offered as examples of current capabilities and future research efforts are outlined, previewing new tools that 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090EB0">
      <w:pPr>
        <w:pStyle w:val="Heading1"/>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 xml:space="preserve">Professor William McComas and focused on the development of science standards for the State of California. She received a B.A. degree from Tabor college Hillsboro, Kansas as well as an M.A. Degree and an </w:t>
      </w:r>
      <w:proofErr w:type="gramStart"/>
      <w:r>
        <w:rPr>
          <w:bCs/>
        </w:rPr>
        <w:t>Ed.D.,</w:t>
      </w:r>
      <w:proofErr w:type="gramEnd"/>
      <w:r>
        <w:rPr>
          <w:bCs/>
        </w:rPr>
        <w:t xml:space="preserve"> both from the University of Southern California in Los Angeles.</w:t>
      </w:r>
    </w:p>
    <w:p w:rsidR="009A714E"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0C1512" w:rsidRDefault="000C1512" w:rsidP="000C1512">
      <w:pPr>
        <w:spacing w:before="120"/>
        <w:jc w:val="both"/>
      </w:pPr>
    </w:p>
    <w:sectPr w:rsidR="000C1512"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C10" w:rsidRDefault="00F74C10" w:rsidP="004B4C30">
      <w:r>
        <w:separator/>
      </w:r>
    </w:p>
  </w:endnote>
  <w:endnote w:type="continuationSeparator" w:id="0">
    <w:p w:rsidR="00F74C10" w:rsidRDefault="00F74C10"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090EB0">
    <w:pPr>
      <w:pStyle w:val="Footer"/>
      <w:tabs>
        <w:tab w:val="clear" w:pos="8640"/>
        <w:tab w:val="right" w:pos="10080"/>
      </w:tabs>
    </w:pPr>
    <w:r>
      <w:rPr>
        <w:i/>
        <w:sz w:val="18"/>
        <w:szCs w:val="18"/>
      </w:rPr>
      <w:t xml:space="preserve">2020 Paper No. </w:t>
    </w:r>
    <w:proofErr w:type="gramStart"/>
    <w:r>
      <w:rPr>
        <w:i/>
        <w:sz w:val="18"/>
        <w:szCs w:val="18"/>
      </w:rPr>
      <w:t>TBD  Page</w:t>
    </w:r>
    <w:proofErr w:type="gramEnd"/>
    <w:r>
      <w:rPr>
        <w:i/>
        <w:sz w:val="18"/>
        <w:szCs w:val="18"/>
      </w:rPr>
      <w:t xml:space="preserve"> </w:t>
    </w:r>
    <w:r w:rsidR="00AF6425">
      <w:rPr>
        <w:i/>
        <w:sz w:val="18"/>
        <w:szCs w:val="18"/>
      </w:rPr>
      <w:fldChar w:fldCharType="begin"/>
    </w:r>
    <w:r>
      <w:rPr>
        <w:i/>
        <w:sz w:val="18"/>
        <w:szCs w:val="18"/>
      </w:rPr>
      <w:instrText>PAGE</w:instrText>
    </w:r>
    <w:r w:rsidR="00AF6425">
      <w:rPr>
        <w:i/>
        <w:sz w:val="18"/>
        <w:szCs w:val="18"/>
      </w:rPr>
      <w:fldChar w:fldCharType="separate"/>
    </w:r>
    <w:r w:rsidR="008479CC">
      <w:rPr>
        <w:i/>
        <w:noProof/>
        <w:sz w:val="18"/>
        <w:szCs w:val="18"/>
      </w:rPr>
      <w:t>1</w:t>
    </w:r>
    <w:r w:rsidR="00AF6425">
      <w:rPr>
        <w:i/>
        <w:sz w:val="18"/>
        <w:szCs w:val="18"/>
      </w:rPr>
      <w:fldChar w:fldCharType="end"/>
    </w:r>
    <w:r>
      <w:rPr>
        <w:i/>
        <w:sz w:val="18"/>
        <w:szCs w:val="18"/>
      </w:rPr>
      <w:t xml:space="preserve"> of </w:t>
    </w:r>
    <w:r w:rsidR="00AF6425">
      <w:rPr>
        <w:i/>
        <w:sz w:val="18"/>
        <w:szCs w:val="18"/>
      </w:rPr>
      <w:fldChar w:fldCharType="begin"/>
    </w:r>
    <w:r>
      <w:rPr>
        <w:i/>
        <w:sz w:val="18"/>
        <w:szCs w:val="18"/>
      </w:rPr>
      <w:instrText>NUMPAGES</w:instrText>
    </w:r>
    <w:r w:rsidR="00AF6425">
      <w:rPr>
        <w:i/>
        <w:sz w:val="18"/>
        <w:szCs w:val="18"/>
      </w:rPr>
      <w:fldChar w:fldCharType="separate"/>
    </w:r>
    <w:r w:rsidR="008479CC">
      <w:rPr>
        <w:i/>
        <w:noProof/>
        <w:sz w:val="18"/>
        <w:szCs w:val="18"/>
      </w:rPr>
      <w:t>2</w:t>
    </w:r>
    <w:r w:rsidR="00AF6425">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C10" w:rsidRDefault="00F74C10" w:rsidP="004B4C30">
      <w:r>
        <w:separator/>
      </w:r>
    </w:p>
  </w:footnote>
  <w:footnote w:type="continuationSeparator" w:id="0">
    <w:p w:rsidR="00F74C10" w:rsidRDefault="00F74C1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80A72"/>
    <w:rsid w:val="00090EB0"/>
    <w:rsid w:val="000C1512"/>
    <w:rsid w:val="000C6F43"/>
    <w:rsid w:val="00130A88"/>
    <w:rsid w:val="0013570D"/>
    <w:rsid w:val="00303E6A"/>
    <w:rsid w:val="003528BA"/>
    <w:rsid w:val="004B4C30"/>
    <w:rsid w:val="00573CFD"/>
    <w:rsid w:val="005841E9"/>
    <w:rsid w:val="005F112E"/>
    <w:rsid w:val="00635719"/>
    <w:rsid w:val="007C4F55"/>
    <w:rsid w:val="008479CC"/>
    <w:rsid w:val="0096378A"/>
    <w:rsid w:val="00991445"/>
    <w:rsid w:val="009A5B9A"/>
    <w:rsid w:val="009A714E"/>
    <w:rsid w:val="009F564B"/>
    <w:rsid w:val="00AF6425"/>
    <w:rsid w:val="00B730B4"/>
    <w:rsid w:val="00C03066"/>
    <w:rsid w:val="00D33BE5"/>
    <w:rsid w:val="00F74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2020-02-22T13:04:00Z</cp:lastPrinted>
  <dcterms:created xsi:type="dcterms:W3CDTF">2020-02-22T13:05:00Z</dcterms:created>
  <dcterms:modified xsi:type="dcterms:W3CDTF">2020-02-22T13:05:00Z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