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DoD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a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  The sense is that Critical Thinking is one of those concepts that is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for the survey page and PHP programs for the data processing and storage functions and PHP for the analytic functions.  The first section of the survey instrument appears in Figure .</w:t>
      </w:r>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r w:rsidRPr="007E31A5">
        <w:rPr>
          <w:color w:val="auto"/>
        </w:rPr>
        <w:t xml:space="preserve">Figure </w:t>
      </w:r>
      <w:r w:rsidR="009219A0" w:rsidRPr="007E31A5">
        <w:rPr>
          <w:color w:val="auto"/>
        </w:rPr>
        <w:fldChar w:fldCharType="begin"/>
      </w:r>
      <w:r w:rsidRPr="007E31A5">
        <w:rPr>
          <w:color w:val="auto"/>
        </w:rPr>
        <w:instrText xml:space="preserve"> SEQ Figure \* ARABIC </w:instrText>
      </w:r>
      <w:r w:rsidR="009219A0" w:rsidRPr="007E31A5">
        <w:rPr>
          <w:color w:val="auto"/>
        </w:rPr>
        <w:fldChar w:fldCharType="separate"/>
      </w:r>
      <w:r w:rsidR="00DC5142">
        <w:rPr>
          <w:noProof/>
          <w:color w:val="auto"/>
        </w:rPr>
        <w:t>1</w:t>
      </w:r>
      <w:r w:rsidR="009219A0" w:rsidRPr="007E31A5">
        <w:rPr>
          <w:color w:val="auto"/>
        </w:rPr>
        <w:fldChar w:fldCharType="end"/>
      </w:r>
      <w:r>
        <w:rPr>
          <w:color w:val="auto"/>
        </w:rPr>
        <w:t>.</w:t>
      </w:r>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9219A0"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Pr="00753E96">
                    <w:rPr>
                      <w:color w:val="auto"/>
                    </w:rPr>
                    <w:fldChar w:fldCharType="begin"/>
                  </w:r>
                  <w:r w:rsidRPr="00753E96">
                    <w:rPr>
                      <w:color w:val="auto"/>
                    </w:rPr>
                    <w:instrText xml:space="preserve"> SEQ Figure \* ARABIC </w:instrText>
                  </w:r>
                  <w:r w:rsidRPr="00753E96">
                    <w:rPr>
                      <w:color w:val="auto"/>
                    </w:rPr>
                    <w:fldChar w:fldCharType="separate"/>
                  </w:r>
                  <w:r>
                    <w:rPr>
                      <w:noProof/>
                      <w:color w:val="auto"/>
                    </w:rPr>
                    <w:t>2</w:t>
                  </w:r>
                  <w:r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9219A0">
        <w:fldChar w:fldCharType="begin"/>
      </w:r>
      <w:r w:rsidR="00410DBD">
        <w:instrText xml:space="preserve"> REF _Ref40001581 \h </w:instrText>
      </w:r>
      <w:r w:rsidR="009219A0">
        <w:fldChar w:fldCharType="separate"/>
      </w:r>
      <w:r w:rsidR="00410DBD" w:rsidRPr="00753E96">
        <w:t xml:space="preserve">Figure </w:t>
      </w:r>
      <w:r w:rsidR="00410DBD" w:rsidRPr="00753E96">
        <w:rPr>
          <w:noProof/>
        </w:rPr>
        <w:t>2</w:t>
      </w:r>
      <w:r w:rsidR="009219A0">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9219A0">
        <w:fldChar w:fldCharType="begin"/>
      </w:r>
      <w:r w:rsidR="00DC5142">
        <w:instrText xml:space="preserve"> REF _Ref40006365 \h </w:instrText>
      </w:r>
      <w:r w:rsidR="009219A0">
        <w:fldChar w:fldCharType="separate"/>
      </w:r>
      <w:r w:rsidR="00DC5142" w:rsidRPr="00DC5142">
        <w:t xml:space="preserve">Figure </w:t>
      </w:r>
      <w:r w:rsidR="00DC5142" w:rsidRPr="00DC5142">
        <w:rPr>
          <w:noProof/>
        </w:rPr>
        <w:t>3</w:t>
      </w:r>
      <w:r w:rsidR="009219A0">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009219A0" w:rsidRPr="00DC5142">
        <w:rPr>
          <w:color w:val="auto"/>
        </w:rPr>
        <w:fldChar w:fldCharType="begin"/>
      </w:r>
      <w:r w:rsidRPr="00DC5142">
        <w:rPr>
          <w:color w:val="auto"/>
        </w:rPr>
        <w:instrText xml:space="preserve"> SEQ Figure \* ARABIC </w:instrText>
      </w:r>
      <w:r w:rsidR="009219A0" w:rsidRPr="00DC5142">
        <w:rPr>
          <w:color w:val="auto"/>
        </w:rPr>
        <w:fldChar w:fldCharType="separate"/>
      </w:r>
      <w:r w:rsidRPr="00DC5142">
        <w:rPr>
          <w:noProof/>
          <w:color w:val="auto"/>
        </w:rPr>
        <w:t>3</w:t>
      </w:r>
      <w:r w:rsidR="009219A0"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sidR="002E0D92">
        <w:rPr>
          <w:noProof/>
          <w:color w:val="auto"/>
        </w:rPr>
        <w:t>1</w:t>
      </w:r>
      <w:r w:rsidR="009219A0"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0 Universal Term.</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9219A0">
        <w:fldChar w:fldCharType="begin"/>
      </w:r>
      <w:r>
        <w:instrText xml:space="preserve"> REF _Ref40013718 \h </w:instrText>
      </w:r>
      <w:r w:rsidR="009219A0">
        <w:fldChar w:fldCharType="separate"/>
      </w:r>
      <w:r w:rsidRPr="00BD15CD">
        <w:t xml:space="preserve">Table </w:t>
      </w:r>
      <w:r>
        <w:rPr>
          <w:noProof/>
        </w:rPr>
        <w:t>2</w:t>
      </w:r>
      <w:r w:rsidRPr="00BD15CD">
        <w:t>. Participant's Familiarity</w:t>
      </w:r>
      <w:r>
        <w:t xml:space="preserve"> with</w:t>
      </w:r>
      <w:r w:rsidRPr="00BD15CD">
        <w:t xml:space="preserve"> and Use of Term</w:t>
      </w:r>
      <w:r w:rsidR="009219A0">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sidR="002E0D92">
        <w:rPr>
          <w:noProof/>
          <w:color w:val="auto"/>
        </w:rPr>
        <w:t>2</w:t>
      </w:r>
      <w:r w:rsidR="009219A0" w:rsidRPr="00BD15CD">
        <w:rPr>
          <w:color w:val="auto"/>
        </w:rPr>
        <w:fldChar w:fldCharType="end"/>
      </w:r>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 xml:space="preserve">There are three recognized pedagogies that have shown promise in inculcating both Metacognition and Critical Thinking.  For want of a better set of terms, this paper will discuss these three: Didactic, Socratic and Constructivist.  These terms are commonly use, but just as commonly disputed as to what they mean and how they should be used. However, for this paper to proceed, it is necessary to have an understanding about the terms that are to be used.  For that reason, the following comments are offered, not to resolve the competing issues, but to define how the terms will be used.  </w:t>
      </w:r>
      <w:r w:rsidR="00B82CD3">
        <w:t xml:space="preserve">In an artificially plain language format, the Didactic method will be taken to mean that situation in which a “knowing entity” has information needed by an unknowing party and resolves that issue by telling the “unknowing entity” the needed information.  This approach is intuitive and is commonly available in the classroom and is often called the “lecture method” (Paul, </w:t>
      </w:r>
      <w:r w:rsidR="00B82CD3" w:rsidRPr="00861E0A">
        <w:rPr>
          <w:i/>
        </w:rPr>
        <w:t>et al</w:t>
      </w:r>
      <w:r w:rsidR="00B82CD3">
        <w:t xml:space="preserve">., 2019). Socrates found this method to not create the future environment for the student to learn and was unduly reliant on the teacher.  His Socratic method as based on propounding a series of challenges to the “unknowing entity”, thereby forcing them to </w:t>
      </w:r>
      <w:r w:rsidR="00096BE4">
        <w:t>learn the truth on their own and so be better able to learn things they do not know now but will need to know in the future.  This approach has many benefits, but is difficult to use and is not facile in areas such as teaching calculus, which is significantly more complex and abstract than is how to be a member of the Greek elite in 400 BC.  The last method we shall address is Constructivism.  That term will be used to identify the approach that has the “knowing entity” create a series of tasks or challenges designed to cause the “unknowing entity” to have to master the needed skills in order to achieve the identified goal.  This method can be understood to substitute the goal driven activities in a germane environment for the incisive questions of the Socratic master</w:t>
      </w:r>
      <w:r w:rsidR="00096BE4" w:rsidRPr="00096BE4">
        <w:t xml:space="preserve"> </w:t>
      </w:r>
      <w:r w:rsidR="00096BE4">
        <w:t xml:space="preserve">(Ng'ambi &amp; Johnston, 2006).  All three have their strengths, weaknesses and hazards.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  The Didactic approach is to recognize the impact of training the student to remember and invoke a set of rules.  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 xml:space="preserve">not only effective, it has been shown to be durable.  The Socratic method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366A3F">
        <w:t xml:space="preserve"> </w:t>
      </w:r>
      <w:r>
        <w:t xml:space="preserve"> </w:t>
      </w:r>
      <w:r w:rsidR="00366A3F">
        <w:t xml:space="preserve">The adherents of the Constructivist approach </w:t>
      </w:r>
      <w:r w:rsidR="00366A3F">
        <w:lastRenderedPageBreak/>
        <w:t xml:space="preserve">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  These hurdles may be manifold, but they must be mastered. Without meaning to establish them in a formal way the following is intended to identify the major impediments to each of the three previously listed pedagogies.  Taking them in the order mentioned above, one of the major weaknesses of the Didactic method is its focus on the Didact and the isolation of the students from the life that awaits them.  A common complaint of iconoclastic educators like John Taylor Gatto have long held that any education system that relies on the students’ satisfying the teacher will fail in imparting any sense of applicability, hence immediacy in mastering the subject at hand.  </w:t>
      </w:r>
      <w:r w:rsidR="00F35D72">
        <w:t xml:space="preserve">The manifest failure of the writing across the curriculum movement in the US is strong evidence that that teaching a skill detached from a worthy goal will not obtain after the school bell rings.  The Socratic method avoids many of those pitfalls, but every top Law School in the country will attest to the difficulty of finding competent, let alone excellent, Socratic instructors.  The other issue is the small class size required to adequately implement this method, especially in the DoD, with its hectic operations schedules and geographic dispersions.  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 xml:space="preserve">A major issue in this area is the lack of metrics.  </w:t>
      </w:r>
      <w:r w:rsidR="003D41A9">
        <w:t xml:space="preserve">Without metrics, it is difficult, if not impossible, to recognize whether innovative steps are having any impact. This is an extension of the lack of consensus as to what Critical Thinking means.   There are organizations that specialize in creating standards and psychometricians can </w:t>
      </w:r>
      <w:r w:rsidR="00B86C6C">
        <w:t>development</w:t>
      </w:r>
      <w:r w:rsidR="003D41A9">
        <w:t xml:space="preserve"> tools, once they are given a set of parameters on which to evaluated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 xml:space="preserve">There is a large and growing capability in simulation, virtual humans, global communication, and computer agents.  All of these are highly probable solutions to the hurdles and constraints mentioned above.  Before the paper examines how, it would be appropriate to outline some of these technologies, both in </w:t>
      </w:r>
      <w:r w:rsidR="00B86C6C">
        <w:t>terms</w:t>
      </w:r>
      <w:r>
        <w:t xml:space="preserve"> of where they are and where they are going.  </w:t>
      </w:r>
      <w:r w:rsidR="00191E9F">
        <w:t xml:space="preserve">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  </w:t>
      </w:r>
    </w:p>
    <w:p w:rsidR="00191E9F" w:rsidRDefault="00191E9F" w:rsidP="005D24D9">
      <w:pPr>
        <w:jc w:val="both"/>
      </w:pPr>
    </w:p>
    <w:p w:rsidR="0026778E" w:rsidRDefault="00191E9F" w:rsidP="005D24D9">
      <w:pPr>
        <w:jc w:val="both"/>
      </w:pPr>
      <w:r>
        <w:t xml:space="preserve">Current research is being driven by expanding technologies.  A seemingly unfettered stampede of new technologies replace and make obsolete technologies that the public hardly got a chance to adopt (Christensen, </w:t>
      </w:r>
      <w:r w:rsidR="00B23A79">
        <w:t xml:space="preserve">2013).  There have been advances in the responsiveness of virtual humans, the two-way transmissions of data and images with reduced latencies and increased bandwidths., Natural Language Processing improvements, and Artificial </w:t>
      </w:r>
      <w:r w:rsidR="00B86C6C">
        <w:t>Intelligence</w:t>
      </w:r>
      <w:r w:rsidR="00B23A79">
        <w:t xml:space="preserve"> advances in neural net training.  On the hardware side, General Purpose Graphics Processing Units (GPGPU’s) have provided computational headroom for additionally human-like behavior.</w:t>
      </w:r>
    </w:p>
    <w:p w:rsidR="00B23A79" w:rsidRDefault="00B23A79" w:rsidP="005D24D9">
      <w:pPr>
        <w:jc w:val="both"/>
      </w:pPr>
    </w:p>
    <w:p w:rsidR="0026778E" w:rsidRDefault="00A778BC" w:rsidP="005D24D9">
      <w:pPr>
        <w:jc w:val="both"/>
      </w:pPr>
      <w:r>
        <w:t xml:space="preserve">There are applications of these technologies in everyday use in the civilian world.  In many ways this has led the development of capabilities that the DoD can </w:t>
      </w:r>
      <w:r w:rsidR="00EC2AE7">
        <w:t>exploit</w:t>
      </w:r>
      <w:r>
        <w:t xml:space="preserve"> in real-time</w:t>
      </w:r>
      <w:r w:rsidR="00EC2AE7">
        <w:t xml:space="preserve">.  Anyone who has served in the military can tell of </w:t>
      </w:r>
      <w:r w:rsidR="009768DB">
        <w:t>occasions</w:t>
      </w:r>
      <w:r w:rsidR="00EC2AE7">
        <w:t xml:space="preserve"> in which the civilian world had better, more durable, cheaper and more useable products than the military.  Establishing the need for implementing these capabilities to address the current problems is the first step in future advances in national security.  </w:t>
      </w:r>
    </w:p>
    <w:p w:rsidR="005D24D9" w:rsidRDefault="005D24D9" w:rsidP="005D24D9"/>
    <w:p w:rsidR="00EC2AE7" w:rsidRPr="005D24D9" w:rsidRDefault="00EC2AE7" w:rsidP="005D24D9">
      <w:r>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  High resolution images and videos are available at any time via networking infrastructures.  </w:t>
      </w:r>
    </w:p>
    <w:p w:rsidR="005D24D9" w:rsidRDefault="005D24D9" w:rsidP="005D24D9">
      <w:pPr>
        <w:pStyle w:val="Heading2"/>
      </w:pPr>
      <w:r>
        <w:lastRenderedPageBreak/>
        <w:t>Emerging Technologies</w:t>
      </w:r>
    </w:p>
    <w:p w:rsidR="005D24D9" w:rsidRDefault="005D24D9" w:rsidP="005D24D9">
      <w:pPr>
        <w:jc w:val="both"/>
      </w:pPr>
    </w:p>
    <w:p w:rsidR="00D55CFF" w:rsidRDefault="00D55CFF" w:rsidP="005D24D9">
      <w:pPr>
        <w:jc w:val="both"/>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xml:space="preserve">.,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9768DB" w:rsidRDefault="009768DB" w:rsidP="009768DB">
      <w:pPr>
        <w:pStyle w:val="SIW-Norm"/>
      </w:pPr>
    </w:p>
    <w:p w:rsidR="009768DB" w:rsidRDefault="009768DB" w:rsidP="009768DB">
      <w:pPr>
        <w:pStyle w:val="SIW-Norm"/>
      </w:pPr>
      <w:r>
        <w:t xml:space="preserve"> 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Pouyanfar </w:t>
      </w:r>
      <w:r>
        <w:rPr>
          <w:i/>
          <w:iCs/>
        </w:rPr>
        <w:t>et al.</w:t>
      </w:r>
      <w:r>
        <w:t xml:space="preserve">, 2018). Word vector representation or word embeddings learned using neural networks capture the meaning of words by embedding similar words closer to each other in vector space (Mikolov, 2013).  Distance and relative direction of words can capture semantic meaning. The word for </w:t>
      </w:r>
      <w:r w:rsidRPr="00072487">
        <w:rPr>
          <w:i/>
          <w:iCs/>
        </w:rPr>
        <w:t>queen</w:t>
      </w:r>
      <w:r>
        <w:t xml:space="preserve"> can </w:t>
      </w:r>
      <w:r w:rsidR="00B86C6C">
        <w:t xml:space="preserve">be </w:t>
      </w:r>
      <w:r>
        <w:t xml:space="preserve">approximated using vector arithmetic: </w:t>
      </w:r>
      <w:r w:rsidRPr="00072487">
        <w:rPr>
          <w:i/>
          <w:iCs/>
        </w:rPr>
        <w:t>queen = king – man + women</w:t>
      </w:r>
      <w:r>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9768DB" w:rsidRDefault="009768DB" w:rsidP="009768DB">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These neural networks are sometimes referred to as generative networks because they learn the probability distribution of the input training data and they are able to stochastically regenerate the data. Popular generative networks, include the autoencoder, deep believe network (DBN), deep Boltzmann machine (DBM) and generative adversarial network (GAN) (Goodfellow </w:t>
      </w:r>
      <w:r>
        <w:rPr>
          <w:i/>
          <w:iCs/>
        </w:rPr>
        <w:t xml:space="preserve">et al., </w:t>
      </w:r>
      <w:r w:rsidRPr="00072487">
        <w:t>2014</w:t>
      </w:r>
      <w:r>
        <w:t xml:space="preserve">). GAN pairs a deep generative network with regular deep discriminative network. These two networks are evolved simultaneously, where the generative network creates artifacts and the discriminative network critiques the artifacts. GANs are capable of generating photo realistic faces (Karras </w:t>
      </w:r>
      <w:r>
        <w:rPr>
          <w:i/>
          <w:iCs/>
        </w:rPr>
        <w:t>et al.</w:t>
      </w:r>
      <w:r>
        <w:t xml:space="preserve">, 2019) as well as novel paintings (Elgammal </w:t>
      </w:r>
      <w:r>
        <w:rPr>
          <w:i/>
          <w:iCs/>
        </w:rPr>
        <w:t xml:space="preserve">et al., </w:t>
      </w:r>
      <w:r>
        <w:t>2017).</w:t>
      </w:r>
      <w:r w:rsidR="0057288A">
        <w:t xml:space="preserve"> </w:t>
      </w:r>
      <w:r>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learning (Yao </w:t>
      </w:r>
      <w:r>
        <w:rPr>
          <w:i/>
          <w:iCs/>
        </w:rPr>
        <w:t xml:space="preserve">et al., </w:t>
      </w:r>
      <w:r w:rsidR="00B86C6C">
        <w:t>2018</w:t>
      </w:r>
      <w:r>
        <w:t>).  This advance should enable more realistic and “human” virtual computer agents.</w:t>
      </w:r>
      <w:r w:rsidRPr="00A06F39">
        <w:t xml:space="preserve"> </w:t>
      </w:r>
      <w:r>
        <w:t>These advances are significantly interesting and have attracted inquiries for various agencies of the government (</w:t>
      </w:r>
      <w:r>
        <w:fldChar w:fldCharType="begin"/>
      </w:r>
      <w:r>
        <w:instrText xml:space="preserve"> REF _Ref39308318 \h </w:instrText>
      </w:r>
      <w:r>
        <w:fldChar w:fldCharType="separate"/>
      </w:r>
      <w:r w:rsidRPr="00BC68EA">
        <w:t xml:space="preserve">Figure </w:t>
      </w:r>
      <w:r w:rsidRPr="00BC68EA">
        <w:rPr>
          <w:noProof/>
        </w:rPr>
        <w:t>5</w:t>
      </w:r>
      <w:r>
        <w:fldChar w:fldCharType="end"/>
      </w:r>
      <w:r>
        <w:t>).</w:t>
      </w:r>
      <w:r w:rsidRPr="00054A27">
        <w:t xml:space="preserve"> </w:t>
      </w:r>
      <w:r>
        <w:t>who are also often have questions about the size of current quantum machines (</w:t>
      </w:r>
      <w:r>
        <w:fldChar w:fldCharType="begin"/>
      </w:r>
      <w:r>
        <w:instrText xml:space="preserve"> REF _Ref39308423 \h </w:instrText>
      </w:r>
      <w:r>
        <w:fldChar w:fldCharType="separate"/>
      </w:r>
      <w:r w:rsidRPr="00BC68EA">
        <w:t xml:space="preserve">Figure </w:t>
      </w:r>
      <w:r w:rsidRPr="00BC68EA">
        <w:rPr>
          <w:noProof/>
        </w:rPr>
        <w:t>6</w:t>
      </w:r>
      <w:r>
        <w:fldChar w:fldCharType="end"/>
      </w:r>
      <w:r>
        <w:t>.)</w:t>
      </w:r>
    </w:p>
    <w:p w:rsidR="009768DB" w:rsidRDefault="0057288A" w:rsidP="009768DB">
      <w:pPr>
        <w:pStyle w:val="SIW-Norm"/>
        <w:jc w:val="center"/>
      </w:pPr>
      <w:r>
        <w:pict>
          <v:shape id="_x0000_s1029" type="#_x0000_t202" style="width:219.95pt;height:187.1pt;mso-height-percent:200;mso-position-horizontal-relative:char;mso-position-vertical-relative:line;mso-height-percent:200;mso-width-relative:margin;mso-height-relative:margin" stroked="f">
            <v:textbox style="mso-next-textbox:#_x0000_s1029;mso-fit-shape-to-text:t">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840631" cy="1380473"/>
                                </a:xfrm>
                                <a:prstGeom prst="rect">
                                  <a:avLst/>
                                </a:prstGeom>
                              </pic:spPr>
                            </pic:pic>
                          </a:graphicData>
                        </a:graphic>
                      </wp:inline>
                    </w:drawing>
                  </w:r>
                </w:p>
                <w:p w:rsidR="009768DB" w:rsidRPr="00BC68EA" w:rsidRDefault="009768DB" w:rsidP="009768DB">
                  <w:pPr>
                    <w:pStyle w:val="Caption"/>
                    <w:jc w:val="center"/>
                    <w:rPr>
                      <w:color w:val="auto"/>
                    </w:rPr>
                  </w:pPr>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sidRPr="00BC68EA">
                    <w:rPr>
                      <w:noProof/>
                      <w:color w:val="auto"/>
                    </w:rPr>
                    <w:t>5</w:t>
                  </w:r>
                  <w:r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rsidR="009768DB">
        <w:t xml:space="preserve">  </w:t>
      </w:r>
      <w:r>
        <w:pict>
          <v:shape id="_x0000_s1028" type="#_x0000_t202" style="width:238.25pt;height:151.7pt;mso-position-horizontal-relative:char;mso-position-vertical-relative:line;mso-width-relative:margin;mso-height-relative:margin" stroked="f">
            <v:textbox style="mso-next-textbox:#_x0000_s1028">
              <w:txbxContent>
                <w:p w:rsidR="009768DB" w:rsidRDefault="009768DB" w:rsidP="009768DB">
                  <w:pPr>
                    <w:jc w:val="center"/>
                  </w:pPr>
                  <w:r>
                    <w:rPr>
                      <w:noProof/>
                    </w:rPr>
                    <w:drawing>
                      <wp:inline distT="0" distB="0" distL="0" distR="0">
                        <wp:extent cx="1869126" cy="152433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4"/>
                                <a:stretch>
                                  <a:fillRect/>
                                </a:stretch>
                              </pic:blipFill>
                              <pic:spPr>
                                <a:xfrm>
                                  <a:off x="0" y="0"/>
                                  <a:ext cx="1869749" cy="1524844"/>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sidRPr="00BC68EA">
                    <w:rPr>
                      <w:noProof/>
                      <w:color w:val="auto"/>
                    </w:rPr>
                    <w:t>6</w:t>
                  </w:r>
                  <w:r w:rsidRPr="00BC68EA">
                    <w:rPr>
                      <w:color w:val="auto"/>
                    </w:rPr>
                    <w:fldChar w:fldCharType="end"/>
                  </w:r>
                  <w:r>
                    <w:rPr>
                      <w:color w:val="auto"/>
                    </w:rPr>
                    <w:t xml:space="preserve">. </w:t>
                  </w:r>
                  <w:r w:rsidRPr="00BC68EA">
                    <w:rPr>
                      <w:color w:val="auto"/>
                    </w:rPr>
                    <w:t xml:space="preserve"> Demonstrating the scale of Quantum Annealer Case</w:t>
                  </w:r>
                  <w:bookmarkEnd w:id="4"/>
                </w:p>
              </w:txbxContent>
            </v:textbox>
            <w10:wrap type="none"/>
            <w10:anchorlock/>
          </v:shape>
        </w:pict>
      </w:r>
    </w:p>
    <w:p w:rsidR="009768DB" w:rsidRDefault="009768DB" w:rsidP="009768DB"/>
    <w:p w:rsidR="009768DB" w:rsidRDefault="009768DB" w:rsidP="009768DB">
      <w:r>
        <w:lastRenderedPageBreak/>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9768DB" w:rsidRDefault="009768DB" w:rsidP="009768DB">
      <w:pPr>
        <w:jc w:val="both"/>
      </w:pPr>
    </w:p>
    <w:p w:rsidR="009768DB" w:rsidRDefault="009768DB" w:rsidP="009768DB">
      <w:pPr>
        <w:jc w:val="both"/>
      </w:pPr>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  As that term is used in this paper, a wide range of virtuality is accepted, including using computer-selected video clips of a live human.  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Applications of interest in cross reality, as a synthesis of several vitalities and reality,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w:t>
      </w:r>
      <w:r w:rsidRPr="009617AF">
        <w:lastRenderedPageBreak/>
        <w:t xml:space="preserve">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  The SimCoach kept veterans on the phone longer for therapeutic sessions than did live counselors and the PTSD patients talked longer and about more sensitive topics.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  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  </w:t>
      </w:r>
      <w:r w:rsidR="00B86C6C">
        <w:t>Experience in such prog</w:t>
      </w:r>
      <w:r w:rsidR="00900D21">
        <w:t xml:space="preserve">rams as PALII AI have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   Time, staffing and effort are needed, but there are no apparent constraints to a full implementation.  This is not to ignore the challenges to be met.  Whether using a video-clip approach or an animated avatar approach, the success cannot be guaranteed until the prototype is demonstrated.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created the data-base of potential answers.  Predicting on-screen “presence” Has always been a gamble, but the tried and true methods of the entertainment industry are here to guide these efforts.  It has been learned that vivacious and attractive people in person to person </w:t>
      </w:r>
      <w:r w:rsidR="00656380">
        <w:t xml:space="preserve">meetings typically translate well into on-screen personalities.  As the investment in creating an entire  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  The authors are aware of no data store of videos of students manifesti</w:t>
      </w:r>
      <w:r w:rsidR="00B86C6C">
        <w:t>ng</w:t>
      </w:r>
      <w:r>
        <w:t xml:space="preserve"> such an opportunity.  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duration of the impact on the subject.  Would refreshers courses be necessary?  How resilient would the behavior be in combat?  Would it e susceptible to peer pressures? </w:t>
      </w:r>
      <w:r w:rsidR="00C77DC8">
        <w:t xml:space="preserve"> Careful attention to metrics and input from professional </w:t>
      </w:r>
      <w:r w:rsidR="00B86C6C">
        <w:t>Pedagogist</w:t>
      </w:r>
      <w:r w:rsidR="00C77DC8">
        <w:t xml:space="preserve"> would be more than useful; it would be mandatory.  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metrics, would be assuring the beneficial r</w:t>
      </w:r>
      <w:r w:rsidR="00A61AAD">
        <w:t>etention of</w:t>
      </w:r>
      <w:r>
        <w:t xml:space="preserve"> and utilization of the Critical Thinking and metacognitive skills. To truly measure that metric, longitudinal studies would be required.  </w:t>
      </w:r>
      <w:r>
        <w:lastRenderedPageBreak/>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  During that session, an unexpected problem was injected into the environment, </w:t>
      </w:r>
      <w:r w:rsidR="00B86C6C">
        <w:t>e.g</w:t>
      </w:r>
      <w:r>
        <w:t xml:space="preserve">. failure of a communications </w:t>
      </w:r>
      <w:r w:rsidR="00E9493B">
        <w:t>channel</w:t>
      </w:r>
      <w:r>
        <w:t>.  Then the research team members carefully observed whet the students implemented effectiv</w:t>
      </w:r>
      <w:r w:rsidR="003F0C8B">
        <w:t xml:space="preserve">e approaches </w:t>
      </w:r>
      <w:r w:rsidR="00B86C6C">
        <w:t>of</w:t>
      </w:r>
      <w:r w:rsidR="003F0C8B">
        <w:t xml:space="preserve"> resolving the issue.  </w:t>
      </w:r>
    </w:p>
    <w:p w:rsidR="003F0C8B" w:rsidRDefault="003F0C8B" w:rsidP="005D24D9">
      <w:pPr>
        <w:jc w:val="both"/>
      </w:pPr>
    </w:p>
    <w:p w:rsidR="00A61AAD" w:rsidRDefault="003F0C8B" w:rsidP="005D24D9">
      <w:pPr>
        <w:jc w:val="both"/>
      </w:pPr>
      <w:r>
        <w:t xml:space="preserve">Yet another problem needs to be addressed.  The research team has witnessed, both during research and on </w:t>
      </w:r>
      <w:r w:rsidR="00B86C6C">
        <w:t>active</w:t>
      </w:r>
      <w:r>
        <w:t xml:space="preserve"> duty, that there is a possibility of resistance to any required program that interferes with either “down time” or the “real job.   That has been known to dramatically reduce the c</w:t>
      </w:r>
      <w:r w:rsidR="00A61AAD">
        <w:t>ommitment to utilization</w:t>
      </w:r>
      <w:r>
        <w:t xml:space="preserve"> of the training.  Similar to the </w:t>
      </w:r>
      <w:r w:rsidR="00B86C6C">
        <w:t>students’</w:t>
      </w:r>
      <w:r>
        <w:t xml:space="preserve"> view of education as having no real salubrious impact on </w:t>
      </w:r>
      <w:r w:rsidR="00B86C6C">
        <w:t>them</w:t>
      </w:r>
      <w:r>
        <w:t xml:space="preserve">, merely being a way that the system beleaguers them for no apparent reason and the goal is to finish the required training with as little effort and as little impact on their day-to-day lives.  </w:t>
      </w:r>
      <w:r w:rsidR="00E9493B">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  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Pr="002E0D92">
        <w:rPr>
          <w:color w:val="auto"/>
        </w:rPr>
        <w:fldChar w:fldCharType="begin"/>
      </w:r>
      <w:r w:rsidRPr="002E0D92">
        <w:rPr>
          <w:color w:val="auto"/>
        </w:rPr>
        <w:instrText xml:space="preserve"> SEQ Table \* ARABIC </w:instrText>
      </w:r>
      <w:r w:rsidRPr="002E0D92">
        <w:rPr>
          <w:color w:val="auto"/>
        </w:rPr>
        <w:fldChar w:fldCharType="separate"/>
      </w:r>
      <w:r w:rsidRPr="002E0D92">
        <w:rPr>
          <w:noProof/>
          <w:color w:val="auto"/>
        </w:rPr>
        <w:t>3</w:t>
      </w:r>
      <w:r w:rsidRPr="002E0D92">
        <w:rPr>
          <w:color w:val="auto"/>
        </w:rPr>
        <w:fldChar w:fldCharType="end"/>
      </w:r>
      <w:r w:rsidRPr="002E0D92">
        <w:rPr>
          <w:color w:val="auto"/>
        </w:rPr>
        <w:t xml:space="preserve">. Pedagogy/Hurdle </w:t>
      </w:r>
      <w:r w:rsidR="00B86C6C" w:rsidRPr="002E0D92">
        <w:rPr>
          <w:color w:val="auto"/>
        </w:rPr>
        <w:t>Matrix</w:t>
      </w:r>
    </w:p>
    <w:tbl>
      <w:tblPr>
        <w:tblStyle w:val="TableGrid"/>
        <w:tblW w:w="9533" w:type="dxa"/>
        <w:tblLook w:val="04A0"/>
      </w:tblPr>
      <w:tblGrid>
        <w:gridCol w:w="1548"/>
        <w:gridCol w:w="3060"/>
        <w:gridCol w:w="2160"/>
        <w:gridCol w:w="2765"/>
      </w:tblGrid>
      <w:tr w:rsidR="0057288A" w:rsidTr="008C6203">
        <w:tc>
          <w:tcPr>
            <w:tcW w:w="1548" w:type="dxa"/>
          </w:tcPr>
          <w:p w:rsidR="0057288A" w:rsidRDefault="0057288A" w:rsidP="0057288A">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8C6203">
        <w:tc>
          <w:tcPr>
            <w:tcW w:w="1548" w:type="dxa"/>
          </w:tcPr>
          <w:p w:rsidR="0057288A" w:rsidRDefault="0057288A" w:rsidP="005D24D9">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8C6203">
        <w:tc>
          <w:tcPr>
            <w:tcW w:w="1548" w:type="dxa"/>
          </w:tcPr>
          <w:p w:rsidR="0057288A" w:rsidRDefault="0057288A" w:rsidP="005D24D9">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8C6203">
        <w:tc>
          <w:tcPr>
            <w:tcW w:w="1548" w:type="dxa"/>
          </w:tcPr>
          <w:p w:rsidR="0057288A" w:rsidRDefault="0057288A" w:rsidP="005D24D9">
            <w:r>
              <w:t>Constructionist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 xml:space="preserve">Experience has shown that this approach would require a significant amount of planning  and forethought.  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  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  Many of the programs in effect today have devolved into bureaucratic burdens, where all too often the only metric of success is class attendance. As has been suggested above, emerging technologies can address all of these issues better and in a more scalable way.  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r w:rsidRPr="001D7A57">
        <w:t>Burmaogla</w:t>
      </w:r>
      <w:r w:rsidR="00561F5F" w:rsidRPr="001D7A57">
        <w:t xml:space="preserve">, S., &amp; </w:t>
      </w:r>
      <w:r w:rsidRPr="001D7A57">
        <w:t>Saritas</w:t>
      </w:r>
      <w:r w:rsidR="00561F5F" w:rsidRPr="001D7A57">
        <w:t xml:space="preserve">, O. (2017). Changing characteristics of warfare and the future of Military R&amp;D. </w:t>
      </w:r>
      <w:r w:rsidR="00561F5F" w:rsidRPr="001D7A57">
        <w:rPr>
          <w:i/>
        </w:rPr>
        <w:t>Technological Forecasting and Social Change</w:t>
      </w:r>
      <w:r w:rsidR="00561F5F" w:rsidRPr="001D7A57">
        <w:t>, 116, 151-161.</w:t>
      </w:r>
    </w:p>
    <w:p w:rsidR="00561F5F" w:rsidRDefault="00561F5F" w:rsidP="00561F5F">
      <w:pPr>
        <w:spacing w:before="200"/>
        <w:ind w:left="360" w:right="360" w:hanging="180"/>
      </w:pPr>
      <w:r w:rsidRPr="00B23A79">
        <w:lastRenderedPageBreak/>
        <w:t xml:space="preserve">Christensen, C. M. (2013).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561F5F" w:rsidRDefault="00561F5F"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Florida:SISO</w:t>
      </w:r>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561F5F" w:rsidRDefault="00561F5F"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561F5F" w:rsidRDefault="00561F5F"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p906-11 .</w:t>
      </w:r>
    </w:p>
    <w:p w:rsidR="00561F5F" w:rsidRDefault="00561F5F"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r>
        <w:t xml:space="preserve">Karras, T., Laine, S., &amp; Aila, T. (2019). A style-based generator architecture for generative adversarial networks. In </w:t>
      </w:r>
      <w:r w:rsidR="003845B4">
        <w:rPr>
          <w:i/>
          <w:iCs/>
        </w:rPr>
        <w:t xml:space="preserve">Proceedings of </w:t>
      </w:r>
      <w:r>
        <w:rPr>
          <w:i/>
          <w:iCs/>
        </w:rPr>
        <w:t>IEEE Conference on Computer Vision and Pattern Recognition</w:t>
      </w:r>
      <w:r>
        <w:t xml:space="preserve"> (pp. 4401-4410).</w:t>
      </w:r>
    </w:p>
    <w:p w:rsidR="00561F5F" w:rsidRDefault="00561F5F"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561F5F" w:rsidRDefault="00561F5F" w:rsidP="00561F5F">
      <w:pPr>
        <w:pStyle w:val="Refs-SIW"/>
        <w:keepLines/>
        <w:numPr>
          <w:ilvl w:val="0"/>
          <w:numId w:val="0"/>
        </w:numPr>
        <w:spacing w:before="200"/>
        <w:ind w:left="374" w:right="360" w:hanging="187"/>
      </w:pPr>
      <w:r>
        <w:t xml:space="preserve">Mathematics Educator, (2020). Is Metacognition ever bad?. Retrieved on 22 March 2020 from: </w:t>
      </w:r>
      <w:r w:rsidRPr="004A61A8">
        <w:t>https://matheducators.stackexchange.com/questions/10939/is-metacognition-ever-bad</w:t>
      </w:r>
      <w:r>
        <w:t xml:space="preserve">. </w:t>
      </w:r>
    </w:p>
    <w:p w:rsidR="00561F5F" w:rsidRDefault="00561F5F"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561F5F" w:rsidRDefault="00561F5F"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561F5F" w:rsidRDefault="00561F5F"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561F5F" w:rsidRPr="00DC7CAD" w:rsidRDefault="00561F5F"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561F5F" w:rsidRDefault="00561F5F"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561F5F" w:rsidRDefault="00561F5F"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561F5F" w:rsidRDefault="00561F5F"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561F5F" w:rsidRDefault="00561F5F" w:rsidP="00561F5F">
      <w:pPr>
        <w:keepLines/>
        <w:spacing w:before="200"/>
        <w:ind w:left="374" w:right="180" w:hanging="187"/>
      </w:pPr>
      <w:r>
        <w:t xml:space="preserve">Wiktionary, (2020). </w:t>
      </w:r>
      <w:r w:rsidRPr="004E7758">
        <w:rPr>
          <w:i/>
        </w:rPr>
        <w:t>Critical thinking</w:t>
      </w:r>
      <w:r>
        <w:t xml:space="preserve">.  Retrieved on 18 April 2020 from: </w:t>
      </w:r>
      <w:r w:rsidRPr="004E7758">
        <w:t>https://en.wiktionary.org/wiki/critical_thinking</w:t>
      </w:r>
      <w:r>
        <w:t>.</w:t>
      </w:r>
    </w:p>
    <w:p w:rsidR="00561F5F" w:rsidRPr="00561F5F" w:rsidRDefault="00561F5F" w:rsidP="00561F5F">
      <w:pPr>
        <w:spacing w:before="200"/>
        <w:ind w:left="374" w:right="180" w:hanging="187"/>
      </w:pPr>
      <w:r>
        <w:t xml:space="preserve">Withers, C. W. (2008). </w:t>
      </w: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76B" w:rsidRDefault="0012676B" w:rsidP="004B4C30">
      <w:r>
        <w:separator/>
      </w:r>
    </w:p>
  </w:endnote>
  <w:endnote w:type="continuationSeparator" w:id="0">
    <w:p w:rsidR="0012676B" w:rsidRDefault="0012676B"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8C6203">
      <w:rPr>
        <w:i/>
        <w:noProof/>
        <w:sz w:val="18"/>
        <w:szCs w:val="18"/>
      </w:rPr>
      <w:t>13</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8C6203">
      <w:rPr>
        <w:i/>
        <w:noProof/>
        <w:sz w:val="18"/>
        <w:szCs w:val="18"/>
      </w:rPr>
      <w:t>15</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76B" w:rsidRDefault="0012676B" w:rsidP="004B4C30">
      <w:r>
        <w:separator/>
      </w:r>
    </w:p>
  </w:footnote>
  <w:footnote w:type="continuationSeparator" w:id="0">
    <w:p w:rsidR="0012676B" w:rsidRDefault="0012676B"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2676B"/>
    <w:rsid w:val="00130A88"/>
    <w:rsid w:val="0013570D"/>
    <w:rsid w:val="0017209F"/>
    <w:rsid w:val="00191E9F"/>
    <w:rsid w:val="001F10E6"/>
    <w:rsid w:val="00210274"/>
    <w:rsid w:val="00237064"/>
    <w:rsid w:val="0024319D"/>
    <w:rsid w:val="0026778E"/>
    <w:rsid w:val="002B1015"/>
    <w:rsid w:val="002C07E1"/>
    <w:rsid w:val="002D2F03"/>
    <w:rsid w:val="002E0D92"/>
    <w:rsid w:val="00303E6A"/>
    <w:rsid w:val="003528BA"/>
    <w:rsid w:val="00363056"/>
    <w:rsid w:val="00366A3F"/>
    <w:rsid w:val="003845B4"/>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288A"/>
    <w:rsid w:val="00573CFD"/>
    <w:rsid w:val="005841E9"/>
    <w:rsid w:val="00585C09"/>
    <w:rsid w:val="00585D65"/>
    <w:rsid w:val="005A4377"/>
    <w:rsid w:val="005A5159"/>
    <w:rsid w:val="005D24D9"/>
    <w:rsid w:val="005F112E"/>
    <w:rsid w:val="0061526C"/>
    <w:rsid w:val="00635719"/>
    <w:rsid w:val="0065511C"/>
    <w:rsid w:val="00656380"/>
    <w:rsid w:val="00664960"/>
    <w:rsid w:val="00670F83"/>
    <w:rsid w:val="006725F6"/>
    <w:rsid w:val="00676033"/>
    <w:rsid w:val="0067698F"/>
    <w:rsid w:val="00695623"/>
    <w:rsid w:val="006A35E2"/>
    <w:rsid w:val="006A4CC1"/>
    <w:rsid w:val="006C41AE"/>
    <w:rsid w:val="006F2545"/>
    <w:rsid w:val="00702873"/>
    <w:rsid w:val="00753E96"/>
    <w:rsid w:val="00777826"/>
    <w:rsid w:val="007A31A8"/>
    <w:rsid w:val="007A7795"/>
    <w:rsid w:val="007B2345"/>
    <w:rsid w:val="007C4F55"/>
    <w:rsid w:val="007E31A5"/>
    <w:rsid w:val="007E4C7A"/>
    <w:rsid w:val="00802811"/>
    <w:rsid w:val="00817A23"/>
    <w:rsid w:val="00833992"/>
    <w:rsid w:val="00861E0A"/>
    <w:rsid w:val="00883953"/>
    <w:rsid w:val="008C6203"/>
    <w:rsid w:val="008E1D62"/>
    <w:rsid w:val="008E698F"/>
    <w:rsid w:val="00900D21"/>
    <w:rsid w:val="009219A0"/>
    <w:rsid w:val="0096378A"/>
    <w:rsid w:val="009768DB"/>
    <w:rsid w:val="00987430"/>
    <w:rsid w:val="00991445"/>
    <w:rsid w:val="009A5B9A"/>
    <w:rsid w:val="009A67C9"/>
    <w:rsid w:val="009A714E"/>
    <w:rsid w:val="009B4FB0"/>
    <w:rsid w:val="009E6FFC"/>
    <w:rsid w:val="009F1672"/>
    <w:rsid w:val="009F564B"/>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B266D"/>
    <w:rsid w:val="00DC5142"/>
    <w:rsid w:val="00DD5F06"/>
    <w:rsid w:val="00E00076"/>
    <w:rsid w:val="00E04504"/>
    <w:rsid w:val="00E16F2C"/>
    <w:rsid w:val="00E6555F"/>
    <w:rsid w:val="00E83309"/>
    <w:rsid w:val="00E9493B"/>
    <w:rsid w:val="00EB12F0"/>
    <w:rsid w:val="00EB50FD"/>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C3E1FE2-3C30-4CE9-B42C-465C511A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8743</Words>
  <Characters>49841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2020-02-22T20:17:00Z</cp:lastPrinted>
  <dcterms:created xsi:type="dcterms:W3CDTF">2020-05-11T05:04:00Z</dcterms:created>
  <dcterms:modified xsi:type="dcterms:W3CDTF">2020-05-11T05:04:00Z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