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AE3303">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 xml:space="preserve">One issue that arises early is what groups of people are the most impacted by the advent of a new series of technologies, techniques and approaches to better understanding, modeling and quantifying learning.  Centuries of bemoaning the lack of any reliable way of assessing teaching achievements were caused by the amount of data and the length of time between the learning activity and the final evidence of its efficacy.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 xml:space="preserve">Some of the emerging capabilities mentioned above are now decades old, but many are still on Clayton Christensen's curve of disruptive technologies and many are well-known only in the conference environment, but remain mysterious to the education practitioners in the classrooms.  A quick review and a shallow survey may help the reader understand the rest of this paper.  Some of the terminology is not only </w:t>
      </w:r>
      <w:r w:rsidR="00FC5733">
        <w:t xml:space="preserve">vague in </w:t>
      </w:r>
      <w:proofErr w:type="spellStart"/>
      <w:r w:rsidR="00FC5733">
        <w:t>definiton</w:t>
      </w:r>
      <w:proofErr w:type="spellEnd"/>
      <w:r w:rsidR="00FC5733">
        <w:t>, but not uncommonly the source of considerable controversy and heated disagreement. This paper takes not position on those issues which will be resolved by an evolving consensus on how the terms are to be used, so authors in the future will be well-advised to consult the published papers on those topics regularly and use the most current usage.  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proofErr w:type="gramStart"/>
      <w:r w:rsidR="0088417A">
        <w:t xml:space="preserve">, </w:t>
      </w:r>
      <w:r w:rsidR="0088417A" w:rsidRPr="0088417A">
        <w:t xml:space="preserve"> comprehend</w:t>
      </w:r>
      <w:r w:rsidR="0088417A">
        <w:t>ing</w:t>
      </w:r>
      <w:proofErr w:type="gramEnd"/>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A20685" w:rsidRPr="00A20685" w:rsidRDefault="00A20685" w:rsidP="00E50C82">
      <w:pPr>
        <w:ind w:right="720"/>
        <w:rPr>
          <w:b/>
        </w:rPr>
      </w:pPr>
      <w:r w:rsidRPr="00A20685">
        <w:rPr>
          <w:b/>
        </w:rPr>
        <w:t>Research and Implementation Setting in which Learning Analytics Would be Useful</w:t>
      </w:r>
    </w:p>
    <w:p w:rsidR="00A20685" w:rsidRDefault="00A20685" w:rsidP="00E50C82">
      <w:pPr>
        <w:ind w:right="720"/>
      </w:pPr>
      <w:r>
        <w:t>To better set the environment into which inputs from Learning Analytics could be injected with significant benefit, a program at the University of Southern California used a computer agent. As reported previously (Nye)</w:t>
      </w:r>
      <w:r w:rsidR="006529E4">
        <w:t>,</w:t>
      </w:r>
      <w:r>
        <w:t xml:space="preserve"> that was manifest as a two-party video call with the user being one party and a</w:t>
      </w:r>
      <w:r w:rsidR="006529E4">
        <w:t xml:space="preserve"> selection from a</w:t>
      </w:r>
      <w:r>
        <w:t xml:space="preserve"> series of pre-recorded video clips of effective mentors providing the advice. While still at the developmental phase of its implementation, it showed both its efficacy at current levels of </w:t>
      </w:r>
      <w:r w:rsidR="006529E4">
        <w:t>maturity and the need for even more sophistication in the selection of the appropriate clips.  Learning Analytics could both provide the needed enhanced sophistication and a more compelling way of evaluating whether the program was having its intended effect on the user: in this case, increasing the likelihood the user would consider a career in the STEM (Science, Technology, Engineering, and Math).</w:t>
      </w:r>
    </w:p>
    <w:p w:rsidR="00945D98" w:rsidRDefault="00945D98" w:rsidP="00E50C82">
      <w:pPr>
        <w:ind w:right="720"/>
      </w:pPr>
    </w:p>
    <w:p w:rsidR="008252A1" w:rsidRDefault="008252A1" w:rsidP="00B67FA4">
      <w:r>
        <w:t>During an informational career interview, a student asks questions about a mentor’s job to get a better understanding of how well that career fits their interests and goals. MentorPal leveraged approaches from earlier projects</w:t>
      </w:r>
      <w:r w:rsidR="00945D98">
        <w:t>, including</w:t>
      </w:r>
      <w:r>
        <w:t xml:space="preserve"> New Dimensions in Testimon</w:t>
      </w:r>
      <w:r w:rsidR="00945D98">
        <w:t>y (NDT)</w:t>
      </w:r>
      <w:r>
        <w:t>. The NDT project, which is intended to maintain and share the experiences of Holocaust survivors (Fig. 1), serves as a model for building systems to communicate personal life experiences (or career experiences).</w:t>
      </w:r>
      <w:r w:rsidR="00B67FA4">
        <w:t xml:space="preserve"> </w:t>
      </w:r>
      <w:r>
        <w:t>In NDT, recorded answers and questions were transcribed, and</w:t>
      </w:r>
      <w:r w:rsidRPr="009922D4">
        <w:t xml:space="preserve"> a </w:t>
      </w:r>
      <w:r>
        <w:t xml:space="preserve">predictive algorithm was developed based on the question-answer pairs, using machine learning. This algorithm predicts the words that are likely to appear in the answer (Traum </w:t>
      </w:r>
      <w:r w:rsidRPr="00945D98">
        <w:rPr>
          <w:i/>
        </w:rPr>
        <w:t>et al</w:t>
      </w:r>
      <w:r>
        <w:t>., 2015)</w:t>
      </w:r>
      <w:r w:rsidRPr="009922D4">
        <w:t>.</w:t>
      </w:r>
      <w:r>
        <w:t xml:space="preserve"> </w:t>
      </w:r>
      <w:proofErr w:type="spellStart"/>
      <w:r w:rsidRPr="009922D4">
        <w:t>Arstein</w:t>
      </w:r>
      <w:proofErr w:type="spellEnd"/>
      <w:r w:rsidRPr="009922D4">
        <w:t xml:space="preserve"> </w:t>
      </w:r>
      <w:r w:rsidRPr="00945D98">
        <w:rPr>
          <w:i/>
        </w:rPr>
        <w:t>et al</w:t>
      </w:r>
      <w:r w:rsidRPr="009922D4">
        <w:t xml:space="preserve">. (2014) found that </w:t>
      </w:r>
      <w:r>
        <w:t xml:space="preserve">about </w:t>
      </w:r>
      <w:r w:rsidRPr="009922D4">
        <w:t>1</w:t>
      </w:r>
      <w:r>
        <w:t>,</w:t>
      </w:r>
      <w:r w:rsidRPr="009922D4">
        <w:t xml:space="preserve">400 </w:t>
      </w:r>
      <w:r>
        <w:t xml:space="preserve">recorded </w:t>
      </w:r>
      <w:r w:rsidRPr="009922D4">
        <w:t>answers could answer 70% of questions in an open-ended conversation, and iterative improvement allowed fewer than 2</w:t>
      </w:r>
      <w:r>
        <w:t>,</w:t>
      </w:r>
      <w:r w:rsidRPr="009922D4">
        <w:t>000 answers to cover 95% of questions in a highly-natural c</w:t>
      </w:r>
      <w:r>
        <w:t>onversation</w:t>
      </w:r>
      <w:r w:rsidRPr="009922D4">
        <w:t>.</w:t>
      </w:r>
    </w:p>
    <w:p w:rsidR="008252A1" w:rsidRDefault="008252A1" w:rsidP="008252A1"/>
    <w:p w:rsidR="00945D98" w:rsidRDefault="00945D98" w:rsidP="00945D98">
      <w:pPr>
        <w:keepNext/>
        <w:jc w:val="center"/>
      </w:pPr>
      <w:r>
        <w:rPr>
          <w:noProof/>
        </w:rPr>
        <w:drawing>
          <wp:inline distT="0" distB="0" distL="0" distR="0">
            <wp:extent cx="4637626" cy="2630384"/>
            <wp:effectExtent l="19050" t="0" r="0" b="0"/>
            <wp:docPr id="1" name="Picture 1" descr="Swedish History Museum becomes first European museum to exhibit Dimensions in Testimony | U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dish History Museum becomes first European museum to exhibit Dimensions in Testimony | USC ..."/>
                    <pic:cNvPicPr>
                      <a:picLocks noChangeAspect="1" noChangeArrowheads="1"/>
                    </pic:cNvPicPr>
                  </pic:nvPicPr>
                  <pic:blipFill>
                    <a:blip r:embed="rId9" cstate="print"/>
                    <a:srcRect/>
                    <a:stretch>
                      <a:fillRect/>
                    </a:stretch>
                  </pic:blipFill>
                  <pic:spPr bwMode="auto">
                    <a:xfrm>
                      <a:off x="0" y="0"/>
                      <a:ext cx="4637626" cy="2630384"/>
                    </a:xfrm>
                    <a:prstGeom prst="rect">
                      <a:avLst/>
                    </a:prstGeom>
                    <a:noFill/>
                    <a:ln w="9525">
                      <a:noFill/>
                      <a:miter lim="800000"/>
                      <a:headEnd/>
                      <a:tailEnd/>
                    </a:ln>
                  </pic:spPr>
                </pic:pic>
              </a:graphicData>
            </a:graphic>
          </wp:inline>
        </w:drawing>
      </w:r>
    </w:p>
    <w:p w:rsidR="008252A1" w:rsidRPr="00945D98" w:rsidRDefault="00945D98" w:rsidP="00945D98">
      <w:pPr>
        <w:pStyle w:val="Caption"/>
        <w:jc w:val="center"/>
        <w:rPr>
          <w:color w:val="auto"/>
        </w:rPr>
      </w:pPr>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1</w:t>
      </w:r>
      <w:r w:rsidRPr="00945D98">
        <w:rPr>
          <w:color w:val="auto"/>
        </w:rPr>
        <w:fldChar w:fldCharType="end"/>
      </w:r>
      <w:r w:rsidRPr="00945D98">
        <w:rPr>
          <w:color w:val="auto"/>
        </w:rPr>
        <w:t xml:space="preserve"> </w:t>
      </w:r>
      <w:r w:rsidRPr="00945D98">
        <w:rPr>
          <w:color w:val="auto"/>
        </w:rPr>
        <w:t>NDT</w:t>
      </w:r>
      <w:r>
        <w:rPr>
          <w:color w:val="auto"/>
        </w:rPr>
        <w:t xml:space="preserve"> via a 3-D Holographic display</w:t>
      </w:r>
      <w:r w:rsidRPr="00945D98">
        <w:rPr>
          <w:color w:val="auto"/>
        </w:rPr>
        <w:t xml:space="preserve"> at </w:t>
      </w:r>
      <w:r w:rsidRPr="00945D98">
        <w:rPr>
          <w:color w:val="auto"/>
        </w:rPr>
        <w:t>a Swedish</w:t>
      </w:r>
      <w:r w:rsidRPr="00945D98">
        <w:rPr>
          <w:color w:val="auto"/>
        </w:rPr>
        <w:t xml:space="preserve"> Museum</w:t>
      </w:r>
    </w:p>
    <w:p w:rsidR="008252A1" w:rsidRDefault="008252A1" w:rsidP="00945D98">
      <w:pPr>
        <w:ind w:firstLine="720"/>
        <w:jc w:val="center"/>
      </w:pPr>
    </w:p>
    <w:p w:rsidR="008252A1" w:rsidRDefault="008252A1" w:rsidP="008252A1">
      <w:pPr>
        <w:rPr>
          <w:b/>
        </w:rPr>
      </w:pPr>
    </w:p>
    <w:p w:rsidR="008252A1" w:rsidRDefault="008252A1" w:rsidP="008252A1">
      <w:pPr>
        <w:rPr>
          <w:b/>
        </w:rPr>
      </w:pPr>
      <w:r w:rsidRPr="00D6673D">
        <w:rPr>
          <w:b/>
          <w:i/>
          <w:iCs/>
        </w:rPr>
        <w:t>MentorPal User Interface</w:t>
      </w:r>
    </w:p>
    <w:p w:rsidR="008252A1" w:rsidRDefault="008252A1" w:rsidP="008252A1">
      <w:r w:rsidRPr="002E501F">
        <w:rPr>
          <w:bCs/>
        </w:rPr>
        <w:t xml:space="preserve">The </w:t>
      </w:r>
      <w:r>
        <w:t xml:space="preserve">MentorPal interface was </w:t>
      </w:r>
      <w:proofErr w:type="spellStart"/>
      <w:r>
        <w:t>modelled</w:t>
      </w:r>
      <w:proofErr w:type="spellEnd"/>
      <w:r>
        <w:t xml:space="preserve"> after video conference designs. Users submitted a question and the system classifier found the best-matching answer which triggered a video of the real-life mentor answering (or a video of the mentor did not have an answer). Based on internal feedback and later user testing (Breck </w:t>
      </w:r>
      <w:r w:rsidRPr="00B67FA4">
        <w:rPr>
          <w:i/>
        </w:rPr>
        <w:t>et al</w:t>
      </w:r>
      <w:r>
        <w:t xml:space="preserve">., 2018), new features were added including pause, replay, a conversation transcript with replay functionality, subtitles, and voice input questions (speech to text). </w:t>
      </w:r>
    </w:p>
    <w:p w:rsidR="00B67FA4" w:rsidRDefault="00B67FA4" w:rsidP="008252A1"/>
    <w:p w:rsidR="008252A1" w:rsidRDefault="008252A1" w:rsidP="00B67FA4">
      <w:r>
        <w:t xml:space="preserve">However, after testing with students, it was identified that many high school students had trouble generating productive questions. In response, to help students get started with questions we conducted brief practice sessions, where experimenters </w:t>
      </w:r>
      <w:proofErr w:type="spellStart"/>
      <w:r>
        <w:t>modelled</w:t>
      </w:r>
      <w:proofErr w:type="spellEnd"/>
      <w:r>
        <w:t xml:space="preserve"> asking one or two questions. Dialog prompts by the mentor also helped slightly (</w:t>
      </w:r>
      <w:r w:rsidRPr="00B67FA4">
        <w:rPr>
          <w:i/>
        </w:rPr>
        <w:t>e.g</w:t>
      </w:r>
      <w:r>
        <w:t xml:space="preserve">., “You can ask me about how I started my career, my time in Japan…”). While the issue was reduced in severity, some students (particularly younger teens) continued to struggle. As a result, an alternate interaction mode was </w:t>
      </w:r>
      <w:proofErr w:type="spellStart"/>
      <w:r>
        <w:t>designed.To</w:t>
      </w:r>
      <w:proofErr w:type="spellEnd"/>
      <w:r>
        <w:t xml:space="preserve"> scaffold question asking, topic buttons were added that cycle through possible questions (shown beneath the video panel in Figure </w:t>
      </w:r>
      <w:r w:rsidR="00B67FA4">
        <w:t>2</w:t>
      </w:r>
      <w:r>
        <w:t xml:space="preserve">). Topic buttons do not ask the question, but they fill the text box with potential questions. Cycling through one question at a time helps a student explore the space of questions they </w:t>
      </w:r>
      <w:r w:rsidRPr="000C0F17">
        <w:rPr>
          <w:i/>
        </w:rPr>
        <w:t>should</w:t>
      </w:r>
      <w:r>
        <w:t xml:space="preserve"> be asking and that they could submit. While not assessed in this study, topic buttons may have a distinct learning effect, since manually exploring the questions associated with each topic should help students frame which factors to consider in career choice.</w:t>
      </w:r>
    </w:p>
    <w:p w:rsidR="008252A1" w:rsidRDefault="008252A1" w:rsidP="008252A1">
      <w:r>
        <w:tab/>
        <w:t>As a result, MentorPal has three options for input:</w:t>
      </w:r>
    </w:p>
    <w:p w:rsidR="008252A1" w:rsidRDefault="008252A1" w:rsidP="00945D98">
      <w:pPr>
        <w:numPr>
          <w:ilvl w:val="0"/>
          <w:numId w:val="5"/>
        </w:numPr>
      </w:pPr>
      <w:r w:rsidRPr="00FA5B94">
        <w:rPr>
          <w:i/>
        </w:rPr>
        <w:t>Free Text:</w:t>
      </w:r>
      <w:r>
        <w:t xml:space="preserve"> Typing a question into the text box, such as a specific concern or a follow-up question about something a mentor said. Pedagogically, both free text and speech input support </w:t>
      </w:r>
      <w:r w:rsidR="00945D98">
        <w:t xml:space="preserve">a caring </w:t>
      </w:r>
      <w:proofErr w:type="spellStart"/>
      <w:r w:rsidR="00945D98">
        <w:t>environemtn</w:t>
      </w:r>
      <w:proofErr w:type="spellEnd"/>
      <w:r>
        <w:t xml:space="preserve"> (</w:t>
      </w:r>
      <w:r w:rsidRPr="00945D98">
        <w:rPr>
          <w:i/>
        </w:rPr>
        <w:t xml:space="preserve">McDaniel, </w:t>
      </w:r>
      <w:r w:rsidR="00945D98" w:rsidRPr="00945D98">
        <w:rPr>
          <w:i/>
        </w:rPr>
        <w:t>et al</w:t>
      </w:r>
      <w:r w:rsidR="00945D98">
        <w:t>.,</w:t>
      </w:r>
      <w:r w:rsidRPr="000E4407">
        <w:t xml:space="preserve"> 2007</w:t>
      </w:r>
      <w:r>
        <w:t>).</w:t>
      </w:r>
    </w:p>
    <w:p w:rsidR="008252A1" w:rsidRDefault="008252A1" w:rsidP="00945D98">
      <w:pPr>
        <w:numPr>
          <w:ilvl w:val="0"/>
          <w:numId w:val="5"/>
        </w:numPr>
      </w:pPr>
      <w:r>
        <w:rPr>
          <w:i/>
        </w:rPr>
        <w:t xml:space="preserve">Speech Input: </w:t>
      </w:r>
      <w:r>
        <w:t xml:space="preserve">Activating the microphone to input speech, </w:t>
      </w:r>
      <w:proofErr w:type="gramStart"/>
      <w:r>
        <w:t>which is converted to text input to submit.</w:t>
      </w:r>
      <w:proofErr w:type="gramEnd"/>
    </w:p>
    <w:p w:rsidR="008252A1" w:rsidRDefault="008252A1" w:rsidP="00945D98">
      <w:pPr>
        <w:numPr>
          <w:ilvl w:val="0"/>
          <w:numId w:val="5"/>
        </w:numPr>
      </w:pPr>
      <w:r>
        <w:rPr>
          <w:i/>
        </w:rPr>
        <w:t>Topic Buttons:</w:t>
      </w:r>
      <w:r>
        <w:t xml:space="preserve"> Cycle through suggested questions in a topic of interest, shown in the order that researchers prioritized them. Pedagogically, these buttons </w:t>
      </w:r>
      <w:r w:rsidRPr="00AF2148">
        <w:t xml:space="preserve">scaffold </w:t>
      </w:r>
      <w:r w:rsidRPr="005A5F62">
        <w:t>question</w:t>
      </w:r>
      <w:r>
        <w:t>-</w:t>
      </w:r>
      <w:r w:rsidRPr="005A5F62">
        <w:t>asking</w:t>
      </w:r>
      <w:r>
        <w:t xml:space="preserve"> (</w:t>
      </w:r>
      <w:r w:rsidRPr="00432D97">
        <w:t xml:space="preserve">Graesser, </w:t>
      </w:r>
      <w:proofErr w:type="spellStart"/>
      <w:r w:rsidRPr="00432D97">
        <w:t>Swamer</w:t>
      </w:r>
      <w:proofErr w:type="spellEnd"/>
      <w:r w:rsidRPr="00432D97">
        <w:t>, Baggett, &amp; Sell</w:t>
      </w:r>
      <w:r>
        <w:t xml:space="preserve">, </w:t>
      </w:r>
      <w:r w:rsidRPr="00432D97">
        <w:t>2014</w:t>
      </w:r>
      <w:r>
        <w:t>).</w:t>
      </w:r>
    </w:p>
    <w:p w:rsidR="008252A1" w:rsidRDefault="008252A1" w:rsidP="008252A1"/>
    <w:p w:rsidR="008252A1" w:rsidRDefault="008252A1" w:rsidP="008252A1">
      <w:r>
        <w:t>Students reported the single mentor interface as useful (Breck et al., 2018), but this interface showed limitations after more mentors were recorded. The original concept assumed that a student would close a mentor if they wanted to talk to another. The advantages of MentorPanel quickly became clear. First, the panel approach offered an effective way to become familiar with at least four mentors and their points-of-view rather than just one. This seemed likely to give a better chance that users could find a career or individual who they preferred. Second, by adding a “lock” button, the MentorPanel could emulate a one-on-one chat. Third, by having multiple mentors offer their views, a student could compare and contrast different careers or viewpoints. Finally, the panel approach helps mitigates issues due to limited answer sets, since only some of the mentors need to answer a question for th</w:t>
      </w:r>
      <w:r w:rsidR="00B67FA4">
        <w:t>e system to feel conversational, as in Figure 2 below.</w:t>
      </w:r>
    </w:p>
    <w:p w:rsidR="008252A1" w:rsidRDefault="008252A1" w:rsidP="008252A1"/>
    <w:p w:rsidR="00945D98" w:rsidRDefault="008252A1" w:rsidP="00B67FA4">
      <w:pPr>
        <w:keepNext/>
        <w:jc w:val="center"/>
      </w:pPr>
      <w:r>
        <w:rPr>
          <w:noProof/>
        </w:rPr>
        <w:drawing>
          <wp:inline distT="0" distB="0" distL="0" distR="0">
            <wp:extent cx="4086810" cy="2378668"/>
            <wp:effectExtent l="19050" t="0" r="894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9139" cy="2380024"/>
                    </a:xfrm>
                    <a:prstGeom prst="rect">
                      <a:avLst/>
                    </a:prstGeom>
                    <a:noFill/>
                    <a:ln>
                      <a:noFill/>
                    </a:ln>
                  </pic:spPr>
                </pic:pic>
              </a:graphicData>
            </a:graphic>
          </wp:inline>
        </w:drawing>
      </w:r>
    </w:p>
    <w:p w:rsidR="008252A1" w:rsidRPr="00945D98" w:rsidRDefault="00945D98" w:rsidP="00945D98">
      <w:pPr>
        <w:pStyle w:val="Caption"/>
        <w:jc w:val="center"/>
        <w:rPr>
          <w:noProof/>
          <w:color w:val="auto"/>
        </w:rPr>
      </w:pPr>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2</w:t>
      </w:r>
      <w:r w:rsidRPr="00945D98">
        <w:rPr>
          <w:color w:val="auto"/>
        </w:rPr>
        <w:fldChar w:fldCharType="end"/>
      </w:r>
      <w:r w:rsidRPr="00945D98">
        <w:rPr>
          <w:color w:val="auto"/>
        </w:rPr>
        <w:t xml:space="preserve"> MentorPal Panel Display</w:t>
      </w:r>
    </w:p>
    <w:p w:rsidR="008252A1" w:rsidRDefault="008252A1" w:rsidP="008252A1">
      <w:pPr>
        <w:rPr>
          <w:noProof/>
        </w:rPr>
      </w:pPr>
    </w:p>
    <w:p w:rsidR="008252A1" w:rsidRDefault="008252A1" w:rsidP="008252A1">
      <w:pPr>
        <w:rPr>
          <w:noProof/>
        </w:rPr>
      </w:pPr>
      <w:r>
        <w:rPr>
          <w:noProof/>
        </w:rPr>
        <w:t xml:space="preserve">Feedback from early users also impacted the design process. Specifically, multiple locations expressed concern about using a downloadable application. This was due to the challenge </w:t>
      </w:r>
      <w:r>
        <w:t>of</w:t>
      </w:r>
      <w:r>
        <w:rPr>
          <w:noProof/>
        </w:rPr>
        <w:t xml:space="preserve"> installing and debugging a local app and also due to the desire to reach students who were located in rural settings that might be </w:t>
      </w:r>
      <w:r>
        <w:t>difficult</w:t>
      </w:r>
      <w:r>
        <w:rPr>
          <w:noProof/>
        </w:rPr>
        <w:t xml:space="preserve"> to reach for live mentoring. As a result, new iterations of MentorPal are now web-based (Figure </w:t>
      </w:r>
      <w:r w:rsidR="00B67FA4">
        <w:rPr>
          <w:noProof/>
        </w:rPr>
        <w:t>3</w:t>
      </w:r>
      <w:r>
        <w:rPr>
          <w:noProof/>
        </w:rPr>
        <w:t xml:space="preserve">). </w:t>
      </w:r>
    </w:p>
    <w:p w:rsidR="008252A1" w:rsidRDefault="008252A1" w:rsidP="008252A1">
      <w:pPr>
        <w:rPr>
          <w:noProof/>
        </w:rPr>
      </w:pPr>
    </w:p>
    <w:p w:rsidR="00B67FA4" w:rsidRDefault="008252A1" w:rsidP="00B67FA4">
      <w:pPr>
        <w:keepNext/>
        <w:jc w:val="center"/>
      </w:pPr>
      <w:r>
        <w:rPr>
          <w:noProof/>
        </w:rPr>
        <w:drawing>
          <wp:inline distT="0" distB="0" distL="0" distR="0">
            <wp:extent cx="2457450" cy="3867150"/>
            <wp:effectExtent l="19050" t="19050" r="0" b="0"/>
            <wp:docPr id="11" name="Picture 7" descr="Screenshot_20180926-2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80926-22211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607"/>
                    <a:stretch>
                      <a:fillRect/>
                    </a:stretch>
                  </pic:blipFill>
                  <pic:spPr bwMode="auto">
                    <a:xfrm>
                      <a:off x="0" y="0"/>
                      <a:ext cx="2457450" cy="3867150"/>
                    </a:xfrm>
                    <a:prstGeom prst="rect">
                      <a:avLst/>
                    </a:prstGeom>
                    <a:noFill/>
                    <a:ln w="9525" cmpd="sng">
                      <a:solidFill>
                        <a:srgbClr val="000000"/>
                      </a:solidFill>
                      <a:miter lim="800000"/>
                      <a:headEnd/>
                      <a:tailEnd/>
                    </a:ln>
                    <a:effectLst/>
                  </pic:spPr>
                </pic:pic>
              </a:graphicData>
            </a:graphic>
          </wp:inline>
        </w:drawing>
      </w:r>
    </w:p>
    <w:p w:rsidR="008252A1" w:rsidRPr="00B67FA4" w:rsidRDefault="00B67FA4" w:rsidP="00B67FA4">
      <w:pPr>
        <w:pStyle w:val="Caption"/>
        <w:jc w:val="center"/>
        <w:rPr>
          <w:b w:val="0"/>
          <w:color w:val="auto"/>
        </w:rPr>
      </w:pPr>
      <w:r w:rsidRPr="00B67FA4">
        <w:rPr>
          <w:color w:val="auto"/>
        </w:rPr>
        <w:t xml:space="preserve">Figure </w:t>
      </w:r>
      <w:r w:rsidRPr="00B67FA4">
        <w:rPr>
          <w:color w:val="auto"/>
        </w:rPr>
        <w:fldChar w:fldCharType="begin"/>
      </w:r>
      <w:r w:rsidRPr="00B67FA4">
        <w:rPr>
          <w:color w:val="auto"/>
        </w:rPr>
        <w:instrText xml:space="preserve"> SEQ Figure \* ARABIC </w:instrText>
      </w:r>
      <w:r w:rsidRPr="00B67FA4">
        <w:rPr>
          <w:color w:val="auto"/>
        </w:rPr>
        <w:fldChar w:fldCharType="separate"/>
      </w:r>
      <w:r w:rsidR="00F32076">
        <w:rPr>
          <w:noProof/>
          <w:color w:val="auto"/>
        </w:rPr>
        <w:t>3</w:t>
      </w:r>
      <w:r w:rsidRPr="00B67FA4">
        <w:rPr>
          <w:color w:val="auto"/>
        </w:rPr>
        <w:fldChar w:fldCharType="end"/>
      </w:r>
      <w:r w:rsidRPr="00B67FA4">
        <w:rPr>
          <w:color w:val="auto"/>
        </w:rPr>
        <w:t xml:space="preserve"> </w:t>
      </w:r>
      <w:r w:rsidRPr="00B67FA4">
        <w:rPr>
          <w:noProof/>
          <w:color w:val="auto"/>
        </w:rPr>
        <w:t>Web Based MentorPal (Mobile View)</w:t>
      </w:r>
    </w:p>
    <w:p w:rsidR="008252A1" w:rsidRDefault="008252A1" w:rsidP="008252A1"/>
    <w:p w:rsidR="008252A1" w:rsidRPr="00987EA3" w:rsidRDefault="008252A1" w:rsidP="008252A1">
      <w:pPr>
        <w:rPr>
          <w:b/>
          <w:i/>
          <w:iCs/>
        </w:rPr>
      </w:pPr>
      <w:r w:rsidRPr="00987EA3">
        <w:rPr>
          <w:b/>
          <w:i/>
          <w:iCs/>
        </w:rPr>
        <w:t>Mentor Recording Content</w:t>
      </w:r>
    </w:p>
    <w:p w:rsidR="008252A1" w:rsidRDefault="008252A1" w:rsidP="00B67FA4">
      <w:r>
        <w:t xml:space="preserve">The MentorPal technology is only a medium: effective mentoring is determined by the quality of the engagement and advice from the human mentor. The full panel of mentors was selected to span a diverse set of backgrounds and career stages, as shown in Table 1 (listed in order of recording). The primary inclusion criteria for mentors were that they had prior experience as mentors in their field.  A secondary inclusion criterion was that mentors needed to be able to share their experiences using engaging stories. </w:t>
      </w:r>
      <w:r w:rsidR="00B67FA4">
        <w:t xml:space="preserve"> </w:t>
      </w:r>
      <w:r>
        <w:t xml:space="preserve">It is important that students have opportunities to talk with mentors in different career fields and who they relate to in terms of life experiences. Recruiting for the panel targeted a balance of two women and two men. However, a female physicist selected was unable to continue, so a previously-recorded male panelist was used for this panel. A second mentor also received transfer orders with only 1/5 of their questions recorded. However, it was identified that they could still work effectively as part of a panel. Despite the range of experiences and different careers in this prototype, the limitations of even four mentors were evident: only a small set of STEM fields were covered. </w:t>
      </w:r>
    </w:p>
    <w:p w:rsidR="00B67FA4" w:rsidRDefault="00B67FA4" w:rsidP="00B67FA4"/>
    <w:p w:rsidR="008252A1" w:rsidRDefault="008252A1" w:rsidP="008252A1">
      <w:pPr>
        <w:ind w:firstLine="720"/>
      </w:pPr>
      <w:r>
        <w:t>A goal of this project was to help students understand STEM careers relevant to both the Navy and to society overall, so mentors were selected with experience in Navy-relevant STEM careers. However, the goal of these recordings was not to advocate for a career but to give specific information about the realities of each career: both what makes their careers a good fit for someone and a bad fit for someone else. Table 2 summarized the topics for each career. Some highlight career benefits (e.g., Growth) while others highlight difficulties or day-to-day headaches (e.g., Challenges). Nye et al. (2017) gives a more thorough overview of the mentor selection, recording, and content development process.</w:t>
      </w:r>
    </w:p>
    <w:p w:rsidR="008252A1" w:rsidRDefault="008252A1" w:rsidP="008252A1">
      <w:pPr>
        <w:ind w:firstLine="720"/>
      </w:pPr>
      <w:r>
        <w:lastRenderedPageBreak/>
        <w:t>The primary pedagogical technique encouraged during recording was the use of narrative, such as brief anecdotes to make key information memorable and salient (</w:t>
      </w:r>
      <w:proofErr w:type="spellStart"/>
      <w:r w:rsidRPr="00C425AC">
        <w:t>Dahlstrom</w:t>
      </w:r>
      <w:proofErr w:type="spellEnd"/>
      <w:r w:rsidRPr="00C425AC">
        <w:t>, 2014</w:t>
      </w:r>
      <w:r>
        <w:t xml:space="preserve">). Before each session, mentors were reminded to answer questions as if they were talking to high-school students. For responses with relatively low career information, mentors were advised to remain brief. While most answers were recorded only once, mentors were encouraged to re-record an answer to highlight an element that was particularly compelling, to improve conversation flow (e.g., long pauses, too long), or to allow mentors to re-phrase their answers. </w:t>
      </w:r>
    </w:p>
    <w:p w:rsidR="008252A1" w:rsidRDefault="008252A1" w:rsidP="008252A1">
      <w:pPr>
        <w:ind w:firstLine="720"/>
      </w:pPr>
    </w:p>
    <w:p w:rsidR="008252A1" w:rsidRPr="00B67FA4" w:rsidRDefault="008252A1" w:rsidP="00B67FA4">
      <w:pPr>
        <w:jc w:val="center"/>
        <w:rPr>
          <w:b/>
        </w:rPr>
      </w:pPr>
      <w:proofErr w:type="gramStart"/>
      <w:r w:rsidRPr="00B67FA4">
        <w:rPr>
          <w:b/>
        </w:rPr>
        <w:t>Table 1.</w:t>
      </w:r>
      <w:proofErr w:type="gramEnd"/>
      <w:r w:rsidRPr="00B67FA4">
        <w:rPr>
          <w:b/>
        </w:rPr>
        <w:t xml:space="preserve"> Mentor Careers, Demographics, and Training Set Size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570"/>
        <w:gridCol w:w="819"/>
        <w:gridCol w:w="2160"/>
        <w:gridCol w:w="1170"/>
        <w:gridCol w:w="1047"/>
      </w:tblGrid>
      <w:tr w:rsidR="008252A1" w:rsidTr="00F42DE2">
        <w:tc>
          <w:tcPr>
            <w:tcW w:w="949"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Mentor</w:t>
            </w:r>
          </w:p>
        </w:tc>
        <w:tc>
          <w:tcPr>
            <w:tcW w:w="2570"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Career(s)</w:t>
            </w:r>
          </w:p>
        </w:tc>
        <w:tc>
          <w:tcPr>
            <w:tcW w:w="819"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Career Stage</w:t>
            </w:r>
          </w:p>
        </w:tc>
        <w:tc>
          <w:tcPr>
            <w:tcW w:w="2160" w:type="dxa"/>
            <w:shd w:val="clear" w:color="auto" w:fill="auto"/>
          </w:tcPr>
          <w:p w:rsidR="008252A1" w:rsidRPr="00EC309F" w:rsidRDefault="008252A1" w:rsidP="00F42DE2">
            <w:pPr>
              <w:rPr>
                <w:rFonts w:ascii="Calibri" w:eastAsia="Calibri" w:hAnsi="Calibri"/>
                <w:b/>
                <w:sz w:val="22"/>
                <w:szCs w:val="22"/>
              </w:rPr>
            </w:pPr>
            <w:r>
              <w:rPr>
                <w:rFonts w:ascii="Calibri" w:eastAsia="Calibri" w:hAnsi="Calibri" w:cs="Calibri"/>
                <w:b/>
                <w:sz w:val="22"/>
                <w:szCs w:val="22"/>
              </w:rPr>
              <w:t>Demographics</w:t>
            </w:r>
            <w:r w:rsidRPr="00EC309F">
              <w:rPr>
                <w:rFonts w:ascii="Calibri" w:eastAsia="Calibri" w:hAnsi="Calibri"/>
                <w:b/>
                <w:sz w:val="22"/>
                <w:szCs w:val="22"/>
              </w:rPr>
              <w:t xml:space="preserve"> &amp; </w:t>
            </w:r>
            <w:proofErr w:type="spellStart"/>
            <w:r w:rsidRPr="00EC309F">
              <w:rPr>
                <w:rFonts w:ascii="Calibri" w:eastAsia="Calibri" w:hAnsi="Calibri"/>
                <w:b/>
                <w:sz w:val="22"/>
                <w:szCs w:val="22"/>
              </w:rPr>
              <w:t>Geographics</w:t>
            </w:r>
            <w:proofErr w:type="spellEnd"/>
          </w:p>
        </w:tc>
        <w:tc>
          <w:tcPr>
            <w:tcW w:w="1170"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 Answers</w:t>
            </w:r>
          </w:p>
        </w:tc>
        <w:tc>
          <w:tcPr>
            <w:tcW w:w="1047"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 Q&amp;A Training</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Clint</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xml:space="preserve">- Nuclear </w:t>
            </w:r>
            <w:r>
              <w:rPr>
                <w:rFonts w:ascii="Calibri" w:eastAsia="Calibri" w:hAnsi="Calibri" w:cs="Calibri"/>
                <w:sz w:val="22"/>
                <w:szCs w:val="22"/>
              </w:rPr>
              <w:t>Electrician's</w:t>
            </w:r>
            <w:r w:rsidRPr="00EC309F">
              <w:rPr>
                <w:rFonts w:ascii="Calibri" w:eastAsia="Calibri" w:hAnsi="Calibri"/>
                <w:sz w:val="22"/>
                <w:szCs w:val="22"/>
              </w:rPr>
              <w:t xml:space="preserve"> Mate Chief (EMC)</w:t>
            </w:r>
            <w:r w:rsidRPr="00EC309F">
              <w:rPr>
                <w:rFonts w:ascii="Calibri" w:eastAsia="Calibri" w:hAnsi="Calibri"/>
                <w:sz w:val="22"/>
                <w:szCs w:val="22"/>
              </w:rPr>
              <w:br/>
              <w:t>- Computer Science</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Mid</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African American Male. In Japan &amp; CA, and from CA, Flint, and Alabama.</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381</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2623</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Dan</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High Performance Computing Research (Supercomputers)</w:t>
            </w:r>
            <w:r w:rsidRPr="00EC309F">
              <w:rPr>
                <w:rFonts w:ascii="Calibri" w:eastAsia="Calibri" w:hAnsi="Calibri"/>
                <w:sz w:val="22"/>
                <w:szCs w:val="22"/>
              </w:rPr>
              <w:br/>
              <w:t>- Navy Cryptologist (CDR)</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Late</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White Male. In CA and from Colorado Springs.</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365</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2671</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Carlos</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Marine Logistics (</w:t>
            </w:r>
            <w:proofErr w:type="spellStart"/>
            <w:r w:rsidRPr="00EC309F">
              <w:rPr>
                <w:rFonts w:ascii="Calibri" w:eastAsia="Calibri" w:hAnsi="Calibri"/>
                <w:sz w:val="22"/>
                <w:szCs w:val="22"/>
              </w:rPr>
              <w:t>Civ</w:t>
            </w:r>
            <w:proofErr w:type="spellEnd"/>
            <w:proofErr w:type="gramStart"/>
            <w:r w:rsidRPr="00EC309F">
              <w:rPr>
                <w:rFonts w:ascii="Calibri" w:eastAsia="Calibri" w:hAnsi="Calibri"/>
                <w:sz w:val="22"/>
                <w:szCs w:val="22"/>
              </w:rPr>
              <w:t>)</w:t>
            </w:r>
            <w:proofErr w:type="gramEnd"/>
            <w:r w:rsidRPr="00EC309F">
              <w:rPr>
                <w:rFonts w:ascii="Calibri" w:eastAsia="Calibri" w:hAnsi="Calibri"/>
                <w:sz w:val="22"/>
                <w:szCs w:val="22"/>
              </w:rPr>
              <w:br/>
              <w:t>- Logistics (Warrant Off.)</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Mid</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Latin American Male. In South Carolina, from Philadelphia &amp; New Haven.</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307</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1896</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xml:space="preserve">Julianne </w:t>
            </w:r>
          </w:p>
          <w:p w:rsidR="008252A1" w:rsidRPr="00EC309F" w:rsidRDefault="008252A1" w:rsidP="00F42DE2">
            <w:pPr>
              <w:rPr>
                <w:rFonts w:ascii="Calibri" w:eastAsia="Calibri" w:hAnsi="Calibri"/>
                <w:sz w:val="22"/>
                <w:szCs w:val="22"/>
              </w:rPr>
            </w:pP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Systems Engineering</w:t>
            </w:r>
          </w:p>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Naval Aviator (ENS)</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Early</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White Female. In CA and from Bo</w:t>
            </w:r>
            <w:r>
              <w:rPr>
                <w:rFonts w:ascii="Calibri" w:eastAsia="Calibri" w:hAnsi="Calibri"/>
                <w:sz w:val="22"/>
                <w:szCs w:val="22"/>
              </w:rPr>
              <w:t>c</w:t>
            </w:r>
            <w:r w:rsidRPr="00EC309F">
              <w:rPr>
                <w:rFonts w:ascii="Calibri" w:eastAsia="Calibri" w:hAnsi="Calibri"/>
                <w:sz w:val="22"/>
                <w:szCs w:val="22"/>
              </w:rPr>
              <w:t>a Raton, FL.</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61</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307</w:t>
            </w:r>
          </w:p>
        </w:tc>
      </w:tr>
    </w:tbl>
    <w:p w:rsidR="008252A1" w:rsidRDefault="008252A1" w:rsidP="008252A1">
      <w:pPr>
        <w:rPr>
          <w:iCs/>
        </w:rPr>
      </w:pPr>
    </w:p>
    <w:p w:rsidR="008252A1" w:rsidRPr="00B67FA4" w:rsidRDefault="008252A1" w:rsidP="00B67FA4">
      <w:pPr>
        <w:jc w:val="center"/>
        <w:rPr>
          <w:b/>
        </w:rPr>
      </w:pPr>
      <w:proofErr w:type="gramStart"/>
      <w:r w:rsidRPr="00B67FA4">
        <w:rPr>
          <w:b/>
          <w:iCs/>
        </w:rPr>
        <w:t>Table 2.</w:t>
      </w:r>
      <w:proofErr w:type="gramEnd"/>
      <w:r w:rsidRPr="00B67FA4">
        <w:rPr>
          <w:b/>
          <w:iCs/>
        </w:rPr>
        <w:t xml:space="preserve"> Examples of question topic categories, with example questions </w:t>
      </w:r>
      <w:r w:rsidR="00B67FA4">
        <w:rPr>
          <w:b/>
          <w:iCs/>
        </w:rPr>
        <w:br/>
      </w:r>
      <w:r w:rsidRPr="00B67FA4">
        <w:rPr>
          <w:b/>
          <w:iCs/>
        </w:rPr>
        <w:t xml:space="preserve">(see Nye </w:t>
      </w:r>
      <w:r w:rsidRPr="00B67FA4">
        <w:rPr>
          <w:b/>
          <w:i/>
          <w:iCs/>
        </w:rPr>
        <w:t>et al.</w:t>
      </w:r>
      <w:r w:rsidRPr="00B67FA4">
        <w:rPr>
          <w:b/>
          <w:iCs/>
        </w:rPr>
        <w:t>, 2017 for the full set of 37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6"/>
        <w:gridCol w:w="6609"/>
      </w:tblGrid>
      <w:tr w:rsidR="008252A1" w:rsidRPr="003F4D1A" w:rsidTr="00F42DE2">
        <w:tc>
          <w:tcPr>
            <w:tcW w:w="2106" w:type="dxa"/>
            <w:shd w:val="clear" w:color="auto" w:fill="auto"/>
          </w:tcPr>
          <w:p w:rsidR="008252A1" w:rsidRPr="00EF286E" w:rsidRDefault="008252A1" w:rsidP="00F42DE2">
            <w:pPr>
              <w:rPr>
                <w:rFonts w:ascii="Calibri" w:eastAsia="Calibri" w:hAnsi="Calibri"/>
                <w:b/>
                <w:sz w:val="22"/>
                <w:szCs w:val="22"/>
              </w:rPr>
            </w:pPr>
            <w:r w:rsidRPr="00EF286E">
              <w:rPr>
                <w:rFonts w:ascii="Calibri" w:eastAsia="Calibri" w:hAnsi="Calibri"/>
                <w:b/>
                <w:sz w:val="22"/>
                <w:szCs w:val="22"/>
              </w:rPr>
              <w:t>Category</w:t>
            </w:r>
          </w:p>
        </w:tc>
        <w:tc>
          <w:tcPr>
            <w:tcW w:w="6609" w:type="dxa"/>
            <w:shd w:val="clear" w:color="auto" w:fill="auto"/>
          </w:tcPr>
          <w:p w:rsidR="008252A1" w:rsidRPr="00EF286E" w:rsidRDefault="008252A1" w:rsidP="00F42DE2">
            <w:pPr>
              <w:rPr>
                <w:rFonts w:ascii="Calibri" w:eastAsia="Calibri" w:hAnsi="Calibri"/>
                <w:b/>
                <w:sz w:val="22"/>
                <w:szCs w:val="22"/>
              </w:rPr>
            </w:pPr>
            <w:r w:rsidRPr="00EF286E">
              <w:rPr>
                <w:rFonts w:ascii="Calibri" w:eastAsia="Calibri" w:hAnsi="Calibri"/>
                <w:b/>
                <w:sz w:val="22"/>
                <w:szCs w:val="22"/>
              </w:rPr>
              <w:t>Question</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Background</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Where did you grow up?</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Benefits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 xml:space="preserve">How </w:t>
            </w:r>
            <w:r w:rsidRPr="003F4D1A">
              <w:rPr>
                <w:rFonts w:ascii="Calibri" w:eastAsia="Calibri" w:hAnsi="Calibri"/>
                <w:i/>
                <w:sz w:val="22"/>
                <w:szCs w:val="22"/>
              </w:rPr>
              <w:t>do</w:t>
            </w:r>
            <w:r w:rsidRPr="00EF286E">
              <w:rPr>
                <w:rFonts w:ascii="Calibri" w:eastAsia="Calibri" w:hAnsi="Calibri"/>
                <w:i/>
                <w:sz w:val="22"/>
                <w:szCs w:val="22"/>
              </w:rPr>
              <w:t xml:space="preserve"> the educational benefits of your work?</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Challenges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is your strategy for overcoming hardships?</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Conflict</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Tell me about a time when your priorities conflicted with that of management.</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Culture</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do you find unique about your career field?</w:t>
            </w:r>
          </w:p>
        </w:tc>
      </w:tr>
      <w:tr w:rsidR="008252A1" w:rsidRPr="003F4D1A" w:rsidTr="00F42DE2">
        <w:trPr>
          <w:trHeight w:val="20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Ethics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Is sexual harassment common in the military?</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Failure</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 xml:space="preserve">What are the failures for which you are the </w:t>
            </w:r>
            <w:proofErr w:type="gramStart"/>
            <w:r w:rsidRPr="00EF286E">
              <w:rPr>
                <w:rFonts w:ascii="Calibri" w:eastAsia="Calibri" w:hAnsi="Calibri"/>
                <w:i/>
                <w:sz w:val="22"/>
                <w:szCs w:val="22"/>
              </w:rPr>
              <w:t>most unhappy</w:t>
            </w:r>
            <w:proofErr w:type="gramEnd"/>
            <w:r w:rsidRPr="00EF286E">
              <w:rPr>
                <w:rFonts w:ascii="Calibri" w:eastAsia="Calibri" w:hAnsi="Calibri"/>
                <w:i/>
                <w:sz w:val="22"/>
                <w:szCs w:val="22"/>
              </w:rPr>
              <w:t>?</w:t>
            </w:r>
          </w:p>
        </w:tc>
      </w:tr>
      <w:tr w:rsidR="008252A1" w:rsidRPr="003F4D1A" w:rsidTr="00F42DE2">
        <w:trPr>
          <w:trHeight w:val="11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Mentor</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Who are the best people to talk to when making a career choice?</w:t>
            </w:r>
          </w:p>
        </w:tc>
      </w:tr>
      <w:tr w:rsidR="008252A1" w:rsidRPr="003F4D1A" w:rsidTr="00F42DE2">
        <w:trPr>
          <w:trHeight w:val="20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Motivation</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Why do you love your job?</w:t>
            </w:r>
          </w:p>
        </w:tc>
      </w:tr>
      <w:tr w:rsidR="008252A1" w:rsidRPr="003F4D1A" w:rsidTr="00F42DE2">
        <w:trPr>
          <w:trHeight w:val="215"/>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STEM</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is something most people don’t know about computer science?</w:t>
            </w:r>
          </w:p>
        </w:tc>
      </w:tr>
      <w:tr w:rsidR="008252A1" w:rsidRPr="003F4D1A" w:rsidTr="00F42DE2">
        <w:trPr>
          <w:trHeight w:val="215"/>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Travel</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How much travel did you do during active duty?</w:t>
            </w:r>
          </w:p>
        </w:tc>
      </w:tr>
    </w:tbl>
    <w:p w:rsidR="008252A1" w:rsidRDefault="008252A1" w:rsidP="008252A1">
      <w:pPr>
        <w:rPr>
          <w:b/>
        </w:rPr>
      </w:pPr>
    </w:p>
    <w:p w:rsidR="00FE210E" w:rsidRDefault="00FE210E" w:rsidP="00E50C82">
      <w:pPr>
        <w:ind w:right="720"/>
      </w:pPr>
      <w:r>
        <w:t>Many issues arose in the testing that were illuminating, not the least of which was the pervasive lack of the students' awareness of career selection parameters of consequence.  There was, as would be expected, a significant amount of variance in this lack, some of it depending on Socio-Economic Status (SES) and K-12 education environment.</w:t>
      </w:r>
    </w:p>
    <w:p w:rsidR="00FE210E" w:rsidRDefault="00FE210E" w:rsidP="00E50C82">
      <w:pPr>
        <w:ind w:right="720"/>
      </w:pPr>
    </w:p>
    <w:p w:rsidR="00FE210E" w:rsidRDefault="00FE210E" w:rsidP="00E50C82">
      <w:pPr>
        <w:ind w:right="720"/>
      </w:pPr>
      <w:r>
        <w:t>Some of the results are shown below:</w:t>
      </w:r>
    </w:p>
    <w:p w:rsidR="00FE210E" w:rsidRDefault="00FE210E" w:rsidP="00FE210E">
      <w:pPr>
        <w:jc w:val="center"/>
      </w:pPr>
      <w:proofErr w:type="gramStart"/>
      <w:r w:rsidRPr="00FE210E">
        <w:rPr>
          <w:b/>
        </w:rPr>
        <w:t xml:space="preserve">Table </w:t>
      </w:r>
      <w:r w:rsidRPr="00FE210E">
        <w:rPr>
          <w:b/>
        </w:rPr>
        <w:t>3</w:t>
      </w:r>
      <w:r w:rsidRPr="00FE210E">
        <w:rPr>
          <w:b/>
        </w:rPr>
        <w:t>.</w:t>
      </w:r>
      <w:proofErr w:type="gramEnd"/>
      <w:r w:rsidRPr="00FE210E">
        <w:rPr>
          <w:b/>
        </w:rPr>
        <w:t xml:space="preserve"> Interest Rating for Specific Mentors </w:t>
      </w:r>
      <w:r w:rsidRPr="00FE210E">
        <w:rPr>
          <w:b/>
        </w:rPr>
        <w:br/>
      </w:r>
      <w:r>
        <w:t>(Post-Survey, N=31, Scale from 1=Not at All Interested to 6=Highly Interested)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800"/>
        <w:gridCol w:w="900"/>
        <w:gridCol w:w="990"/>
        <w:gridCol w:w="1170"/>
        <w:gridCol w:w="2790"/>
      </w:tblGrid>
      <w:tr w:rsidR="00FE210E" w:rsidTr="00FE210E">
        <w:trPr>
          <w:trHeight w:val="276"/>
          <w:jc w:val="center"/>
        </w:trPr>
        <w:tc>
          <w:tcPr>
            <w:tcW w:w="1075" w:type="dxa"/>
            <w:vMerge w:val="restart"/>
            <w:shd w:val="clear" w:color="auto" w:fill="auto"/>
          </w:tcPr>
          <w:p w:rsidR="00FE210E" w:rsidRPr="00A12E28" w:rsidRDefault="00FE210E" w:rsidP="00F42DE2">
            <w:pPr>
              <w:rPr>
                <w:rFonts w:eastAsia="Calibri"/>
                <w:b/>
              </w:rPr>
            </w:pPr>
            <w:r w:rsidRPr="00A12E28">
              <w:rPr>
                <w:rFonts w:eastAsia="Calibri"/>
                <w:b/>
              </w:rPr>
              <w:lastRenderedPageBreak/>
              <w:t>Mentor</w:t>
            </w:r>
          </w:p>
        </w:tc>
        <w:tc>
          <w:tcPr>
            <w:tcW w:w="1800" w:type="dxa"/>
            <w:vMerge w:val="restart"/>
            <w:shd w:val="clear" w:color="auto" w:fill="auto"/>
          </w:tcPr>
          <w:p w:rsidR="00FE210E" w:rsidRPr="00A12E28" w:rsidRDefault="00FE210E" w:rsidP="00F42DE2">
            <w:pPr>
              <w:rPr>
                <w:rFonts w:eastAsia="Calibri"/>
                <w:b/>
              </w:rPr>
            </w:pPr>
            <w:r w:rsidRPr="00A12E28">
              <w:rPr>
                <w:rFonts w:eastAsia="Calibri"/>
                <w:b/>
              </w:rPr>
              <w:t>Career(s)</w:t>
            </w:r>
          </w:p>
        </w:tc>
        <w:tc>
          <w:tcPr>
            <w:tcW w:w="1890" w:type="dxa"/>
            <w:gridSpan w:val="2"/>
            <w:shd w:val="clear" w:color="auto" w:fill="auto"/>
          </w:tcPr>
          <w:p w:rsidR="00FE210E" w:rsidRPr="00A12E28" w:rsidRDefault="00FE210E" w:rsidP="00F42DE2">
            <w:pPr>
              <w:jc w:val="center"/>
              <w:rPr>
                <w:rFonts w:eastAsia="Calibri"/>
                <w:b/>
              </w:rPr>
            </w:pPr>
            <w:r w:rsidRPr="00A12E28">
              <w:rPr>
                <w:rFonts w:eastAsia="Calibri"/>
                <w:b/>
              </w:rPr>
              <w:t>Interest Ratings</w:t>
            </w:r>
          </w:p>
        </w:tc>
        <w:tc>
          <w:tcPr>
            <w:tcW w:w="1170" w:type="dxa"/>
            <w:vMerge w:val="restart"/>
          </w:tcPr>
          <w:p w:rsidR="00FE210E" w:rsidRPr="00A12E28" w:rsidRDefault="00FE210E" w:rsidP="00F42DE2">
            <w:pPr>
              <w:jc w:val="center"/>
              <w:rPr>
                <w:rFonts w:eastAsia="Calibri"/>
                <w:b/>
              </w:rPr>
            </w:pPr>
            <w:r>
              <w:rPr>
                <w:rFonts w:eastAsia="Calibri"/>
                <w:b/>
              </w:rPr>
              <w:t>% Top Rated</w:t>
            </w:r>
          </w:p>
        </w:tc>
        <w:tc>
          <w:tcPr>
            <w:tcW w:w="2790" w:type="dxa"/>
            <w:vMerge w:val="restart"/>
            <w:shd w:val="clear" w:color="auto" w:fill="auto"/>
          </w:tcPr>
          <w:p w:rsidR="00FE210E" w:rsidRPr="00A12E28" w:rsidRDefault="00FE210E" w:rsidP="00F42DE2">
            <w:pPr>
              <w:rPr>
                <w:rFonts w:eastAsia="Calibri"/>
                <w:b/>
              </w:rPr>
            </w:pPr>
            <w:r w:rsidRPr="00A12E28">
              <w:rPr>
                <w:rFonts w:eastAsia="Calibri"/>
                <w:b/>
              </w:rPr>
              <w:t>% Students Listing Career in Free Text</w:t>
            </w:r>
          </w:p>
        </w:tc>
      </w:tr>
      <w:tr w:rsidR="00FE210E" w:rsidTr="00FE210E">
        <w:trPr>
          <w:trHeight w:val="174"/>
          <w:jc w:val="center"/>
        </w:trPr>
        <w:tc>
          <w:tcPr>
            <w:tcW w:w="1075" w:type="dxa"/>
            <w:vMerge/>
            <w:shd w:val="clear" w:color="auto" w:fill="auto"/>
          </w:tcPr>
          <w:p w:rsidR="00FE210E" w:rsidRPr="00A12E28" w:rsidRDefault="00FE210E" w:rsidP="00F42DE2">
            <w:pPr>
              <w:rPr>
                <w:rFonts w:eastAsia="Calibri"/>
                <w:b/>
              </w:rPr>
            </w:pPr>
          </w:p>
        </w:tc>
        <w:tc>
          <w:tcPr>
            <w:tcW w:w="1800" w:type="dxa"/>
            <w:vMerge/>
            <w:shd w:val="clear" w:color="auto" w:fill="auto"/>
          </w:tcPr>
          <w:p w:rsidR="00FE210E" w:rsidRPr="00A12E28" w:rsidRDefault="00FE210E" w:rsidP="00F42DE2">
            <w:pPr>
              <w:rPr>
                <w:rFonts w:eastAsia="Calibri"/>
                <w:b/>
              </w:rPr>
            </w:pPr>
          </w:p>
        </w:tc>
        <w:tc>
          <w:tcPr>
            <w:tcW w:w="900" w:type="dxa"/>
            <w:shd w:val="clear" w:color="auto" w:fill="auto"/>
          </w:tcPr>
          <w:p w:rsidR="00FE210E" w:rsidRPr="00A12E28" w:rsidRDefault="00FE210E" w:rsidP="00F42DE2">
            <w:pPr>
              <w:jc w:val="center"/>
              <w:rPr>
                <w:rFonts w:eastAsia="Calibri"/>
                <w:b/>
              </w:rPr>
            </w:pPr>
            <w:r w:rsidRPr="00A12E28">
              <w:rPr>
                <w:rFonts w:eastAsia="Calibri"/>
                <w:b/>
              </w:rPr>
              <w:t>M</w:t>
            </w:r>
          </w:p>
        </w:tc>
        <w:tc>
          <w:tcPr>
            <w:tcW w:w="990" w:type="dxa"/>
            <w:shd w:val="clear" w:color="auto" w:fill="auto"/>
          </w:tcPr>
          <w:p w:rsidR="00FE210E" w:rsidRPr="00A12E28" w:rsidRDefault="00FE210E" w:rsidP="00F42DE2">
            <w:pPr>
              <w:jc w:val="center"/>
              <w:rPr>
                <w:rFonts w:eastAsia="Calibri"/>
                <w:b/>
              </w:rPr>
            </w:pPr>
            <w:r w:rsidRPr="00A12E28">
              <w:rPr>
                <w:rFonts w:eastAsia="Calibri"/>
                <w:b/>
              </w:rPr>
              <w:t>SD</w:t>
            </w:r>
          </w:p>
        </w:tc>
        <w:tc>
          <w:tcPr>
            <w:tcW w:w="1170" w:type="dxa"/>
            <w:vMerge/>
          </w:tcPr>
          <w:p w:rsidR="00FE210E" w:rsidRPr="00A12E28" w:rsidRDefault="00FE210E" w:rsidP="00F42DE2">
            <w:pPr>
              <w:rPr>
                <w:rFonts w:eastAsia="Calibri"/>
                <w:b/>
              </w:rPr>
            </w:pPr>
          </w:p>
        </w:tc>
        <w:tc>
          <w:tcPr>
            <w:tcW w:w="2790" w:type="dxa"/>
            <w:vMerge/>
            <w:shd w:val="clear" w:color="auto" w:fill="auto"/>
          </w:tcPr>
          <w:p w:rsidR="00FE210E" w:rsidRPr="00A12E28" w:rsidRDefault="00FE210E" w:rsidP="00F42DE2">
            <w:pPr>
              <w:rPr>
                <w:rFonts w:eastAsia="Calibri"/>
                <w:b/>
              </w:rPr>
            </w:pPr>
          </w:p>
        </w:tc>
      </w:tr>
      <w:tr w:rsidR="00FE210E" w:rsidTr="00FE210E">
        <w:trPr>
          <w:trHeight w:val="553"/>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Clint</w:t>
            </w:r>
          </w:p>
        </w:tc>
        <w:tc>
          <w:tcPr>
            <w:tcW w:w="1800" w:type="dxa"/>
            <w:shd w:val="clear" w:color="auto" w:fill="auto"/>
            <w:vAlign w:val="center"/>
          </w:tcPr>
          <w:p w:rsidR="00FE210E" w:rsidRPr="00A12E28" w:rsidRDefault="00FE210E" w:rsidP="00F42DE2">
            <w:pPr>
              <w:rPr>
                <w:rFonts w:eastAsia="Calibri"/>
              </w:rPr>
            </w:pPr>
            <w:r w:rsidRPr="00A12E28">
              <w:rPr>
                <w:rFonts w:eastAsia="Calibri"/>
              </w:rPr>
              <w:t>CS</w:t>
            </w:r>
            <w:r>
              <w:rPr>
                <w:rFonts w:eastAsia="Calibri"/>
              </w:rPr>
              <w:t xml:space="preserve">, </w:t>
            </w:r>
            <w:r w:rsidRPr="00A12E28">
              <w:rPr>
                <w:rFonts w:eastAsia="Calibri"/>
              </w:rPr>
              <w:t xml:space="preserve">Electrical </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4.48</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1.09</w:t>
            </w:r>
          </w:p>
        </w:tc>
        <w:tc>
          <w:tcPr>
            <w:tcW w:w="1170" w:type="dxa"/>
          </w:tcPr>
          <w:p w:rsidR="00FE210E" w:rsidRDefault="00FE210E" w:rsidP="00F42DE2">
            <w:pPr>
              <w:jc w:val="center"/>
              <w:rPr>
                <w:rFonts w:eastAsia="Calibri"/>
              </w:rPr>
            </w:pPr>
            <w:r>
              <w:rPr>
                <w:rFonts w:eastAsia="Calibri"/>
              </w:rPr>
              <w:t>39%</w:t>
            </w:r>
          </w:p>
        </w:tc>
        <w:tc>
          <w:tcPr>
            <w:tcW w:w="2790" w:type="dxa"/>
            <w:shd w:val="clear" w:color="auto" w:fill="auto"/>
            <w:vAlign w:val="center"/>
          </w:tcPr>
          <w:p w:rsidR="00FE210E" w:rsidRPr="00A12E28" w:rsidRDefault="00FE210E" w:rsidP="00F42DE2">
            <w:pPr>
              <w:jc w:val="center"/>
              <w:rPr>
                <w:rFonts w:eastAsia="Calibri"/>
              </w:rPr>
            </w:pPr>
            <w:r>
              <w:rPr>
                <w:rFonts w:eastAsia="Calibri"/>
              </w:rPr>
              <w:t>23</w:t>
            </w:r>
            <w:r w:rsidRPr="00A12E28">
              <w:rPr>
                <w:rFonts w:eastAsia="Calibri"/>
              </w:rPr>
              <w:t>%</w:t>
            </w:r>
            <w:r>
              <w:rPr>
                <w:rFonts w:eastAsia="Calibri"/>
              </w:rPr>
              <w:t xml:space="preserve"> </w:t>
            </w:r>
            <w:r>
              <w:rPr>
                <w:rFonts w:eastAsia="Calibri"/>
              </w:rPr>
              <w:br/>
              <w:t xml:space="preserve">(13% CS, 13% EE) </w:t>
            </w:r>
          </w:p>
        </w:tc>
      </w:tr>
      <w:tr w:rsidR="00FE210E" w:rsidTr="00FE210E">
        <w:trPr>
          <w:trHeight w:val="817"/>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Dan</w:t>
            </w:r>
          </w:p>
        </w:tc>
        <w:tc>
          <w:tcPr>
            <w:tcW w:w="1800" w:type="dxa"/>
            <w:shd w:val="clear" w:color="auto" w:fill="auto"/>
            <w:vAlign w:val="center"/>
          </w:tcPr>
          <w:p w:rsidR="00FE210E" w:rsidRPr="00A12E28" w:rsidRDefault="00FE210E" w:rsidP="00F42DE2">
            <w:pPr>
              <w:rPr>
                <w:rFonts w:eastAsia="Calibri"/>
              </w:rPr>
            </w:pPr>
            <w:r w:rsidRPr="00A12E28">
              <w:rPr>
                <w:rFonts w:eastAsia="Calibri"/>
              </w:rPr>
              <w:t>Cryptology</w:t>
            </w:r>
            <w:r>
              <w:rPr>
                <w:rFonts w:eastAsia="Calibri"/>
              </w:rPr>
              <w:t xml:space="preserve">, </w:t>
            </w:r>
            <w:r w:rsidRPr="00A12E28">
              <w:rPr>
                <w:rFonts w:eastAsia="Calibri"/>
              </w:rPr>
              <w:t>Supercompu</w:t>
            </w:r>
            <w:r>
              <w:rPr>
                <w:rFonts w:eastAsia="Calibri"/>
              </w:rPr>
              <w:t>ters</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4.55</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1.18</w:t>
            </w:r>
          </w:p>
        </w:tc>
        <w:tc>
          <w:tcPr>
            <w:tcW w:w="1170" w:type="dxa"/>
          </w:tcPr>
          <w:p w:rsidR="00FE210E" w:rsidRDefault="00FE210E" w:rsidP="00F42DE2">
            <w:pPr>
              <w:jc w:val="center"/>
              <w:rPr>
                <w:rFonts w:eastAsia="Calibri"/>
              </w:rPr>
            </w:pPr>
            <w:r>
              <w:rPr>
                <w:rFonts w:eastAsia="Calibri"/>
              </w:rPr>
              <w:t>48%</w:t>
            </w:r>
          </w:p>
        </w:tc>
        <w:tc>
          <w:tcPr>
            <w:tcW w:w="2790" w:type="dxa"/>
            <w:shd w:val="clear" w:color="auto" w:fill="auto"/>
            <w:vAlign w:val="center"/>
          </w:tcPr>
          <w:p w:rsidR="00FE210E" w:rsidRPr="00A12E28" w:rsidRDefault="00FE210E" w:rsidP="00F42DE2">
            <w:pPr>
              <w:jc w:val="center"/>
              <w:rPr>
                <w:rFonts w:eastAsia="Calibri"/>
              </w:rPr>
            </w:pPr>
            <w:r>
              <w:rPr>
                <w:rFonts w:eastAsia="Calibri"/>
              </w:rPr>
              <w:t>6</w:t>
            </w:r>
            <w:r w:rsidRPr="00A12E28">
              <w:rPr>
                <w:rFonts w:eastAsia="Calibri"/>
              </w:rPr>
              <w:t>%</w:t>
            </w:r>
            <w:r>
              <w:rPr>
                <w:rFonts w:eastAsia="Calibri"/>
              </w:rPr>
              <w:t xml:space="preserve"> </w:t>
            </w:r>
            <w:r>
              <w:rPr>
                <w:rFonts w:eastAsia="Calibri"/>
              </w:rPr>
              <w:br/>
              <w:t xml:space="preserve">(3% Cryptology, </w:t>
            </w:r>
            <w:r>
              <w:rPr>
                <w:rFonts w:eastAsia="Calibri"/>
              </w:rPr>
              <w:br/>
              <w:t>3% Supercomputers)</w:t>
            </w:r>
          </w:p>
        </w:tc>
      </w:tr>
      <w:tr w:rsidR="00FE210E" w:rsidTr="00FE210E">
        <w:trPr>
          <w:trHeight w:val="354"/>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Carlos</w:t>
            </w:r>
          </w:p>
        </w:tc>
        <w:tc>
          <w:tcPr>
            <w:tcW w:w="1800" w:type="dxa"/>
            <w:shd w:val="clear" w:color="auto" w:fill="auto"/>
            <w:vAlign w:val="center"/>
          </w:tcPr>
          <w:p w:rsidR="00FE210E" w:rsidRPr="00A12E28" w:rsidRDefault="00FE210E" w:rsidP="00F42DE2">
            <w:pPr>
              <w:rPr>
                <w:rFonts w:eastAsia="Calibri"/>
              </w:rPr>
            </w:pPr>
            <w:r w:rsidRPr="00A12E28">
              <w:rPr>
                <w:rFonts w:eastAsia="Calibri"/>
              </w:rPr>
              <w:t>Logistics</w:t>
            </w:r>
          </w:p>
        </w:tc>
        <w:tc>
          <w:tcPr>
            <w:tcW w:w="900" w:type="dxa"/>
            <w:shd w:val="clear" w:color="auto" w:fill="auto"/>
            <w:vAlign w:val="center"/>
          </w:tcPr>
          <w:p w:rsidR="00FE210E" w:rsidRPr="00A12E28" w:rsidRDefault="00FE210E" w:rsidP="00F42DE2">
            <w:pPr>
              <w:jc w:val="center"/>
              <w:rPr>
                <w:color w:val="000000"/>
              </w:rPr>
            </w:pPr>
            <w:r w:rsidRPr="00A12E28">
              <w:rPr>
                <w:color w:val="000000"/>
              </w:rPr>
              <w:t>2.65</w:t>
            </w:r>
          </w:p>
        </w:tc>
        <w:tc>
          <w:tcPr>
            <w:tcW w:w="990" w:type="dxa"/>
            <w:shd w:val="clear" w:color="auto" w:fill="auto"/>
            <w:vAlign w:val="center"/>
          </w:tcPr>
          <w:p w:rsidR="00FE210E" w:rsidRPr="00A12E28" w:rsidRDefault="00FE210E" w:rsidP="00F42DE2">
            <w:pPr>
              <w:jc w:val="center"/>
              <w:rPr>
                <w:color w:val="000000"/>
              </w:rPr>
            </w:pPr>
            <w:r w:rsidRPr="00A12E28">
              <w:rPr>
                <w:color w:val="000000"/>
              </w:rPr>
              <w:t>1.56</w:t>
            </w:r>
          </w:p>
        </w:tc>
        <w:tc>
          <w:tcPr>
            <w:tcW w:w="1170" w:type="dxa"/>
          </w:tcPr>
          <w:p w:rsidR="00FE210E" w:rsidRPr="00A12E28" w:rsidRDefault="00FE210E" w:rsidP="00F42DE2">
            <w:pPr>
              <w:jc w:val="center"/>
              <w:rPr>
                <w:rFonts w:eastAsia="Calibri"/>
              </w:rPr>
            </w:pPr>
            <w:r>
              <w:rPr>
                <w:rFonts w:eastAsia="Calibri"/>
              </w:rPr>
              <w:t>10%</w:t>
            </w:r>
          </w:p>
        </w:tc>
        <w:tc>
          <w:tcPr>
            <w:tcW w:w="2790" w:type="dxa"/>
            <w:shd w:val="clear" w:color="auto" w:fill="auto"/>
            <w:vAlign w:val="center"/>
          </w:tcPr>
          <w:p w:rsidR="00FE210E" w:rsidRPr="00A12E28" w:rsidRDefault="00FE210E" w:rsidP="00F42DE2">
            <w:pPr>
              <w:jc w:val="center"/>
              <w:rPr>
                <w:rFonts w:eastAsia="Calibri"/>
              </w:rPr>
            </w:pPr>
            <w:r w:rsidRPr="00A12E28">
              <w:rPr>
                <w:rFonts w:eastAsia="Calibri"/>
              </w:rPr>
              <w:t>0%</w:t>
            </w:r>
          </w:p>
        </w:tc>
      </w:tr>
      <w:tr w:rsidR="00FE210E" w:rsidTr="00FE210E">
        <w:trPr>
          <w:trHeight w:val="445"/>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Julianne</w:t>
            </w:r>
          </w:p>
        </w:tc>
        <w:tc>
          <w:tcPr>
            <w:tcW w:w="1800" w:type="dxa"/>
            <w:shd w:val="clear" w:color="auto" w:fill="auto"/>
            <w:vAlign w:val="center"/>
          </w:tcPr>
          <w:p w:rsidR="00FE210E" w:rsidRPr="00A12E28" w:rsidRDefault="00FE210E" w:rsidP="00F42DE2">
            <w:pPr>
              <w:rPr>
                <w:rFonts w:eastAsia="Calibri"/>
              </w:rPr>
            </w:pPr>
            <w:r w:rsidRPr="00A12E28">
              <w:rPr>
                <w:rFonts w:eastAsia="Calibri"/>
              </w:rPr>
              <w:t xml:space="preserve">Systems Engineering, Aviator </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3.81</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1.47</w:t>
            </w:r>
          </w:p>
        </w:tc>
        <w:tc>
          <w:tcPr>
            <w:tcW w:w="1170" w:type="dxa"/>
          </w:tcPr>
          <w:p w:rsidR="00FE210E" w:rsidRPr="00A12E28" w:rsidRDefault="00FE210E" w:rsidP="00F42DE2">
            <w:pPr>
              <w:jc w:val="center"/>
              <w:rPr>
                <w:rFonts w:eastAsia="Calibri"/>
              </w:rPr>
            </w:pPr>
            <w:r>
              <w:rPr>
                <w:rFonts w:eastAsia="Calibri"/>
              </w:rPr>
              <w:t>23%</w:t>
            </w:r>
          </w:p>
        </w:tc>
        <w:tc>
          <w:tcPr>
            <w:tcW w:w="2790" w:type="dxa"/>
            <w:shd w:val="clear" w:color="auto" w:fill="auto"/>
            <w:vAlign w:val="center"/>
          </w:tcPr>
          <w:p w:rsidR="00FE210E" w:rsidRPr="00A12E28" w:rsidRDefault="00FE210E" w:rsidP="00F42DE2">
            <w:pPr>
              <w:jc w:val="center"/>
              <w:rPr>
                <w:rFonts w:eastAsia="Calibri"/>
              </w:rPr>
            </w:pPr>
            <w:r w:rsidRPr="00A12E28">
              <w:rPr>
                <w:rFonts w:eastAsia="Calibri"/>
              </w:rPr>
              <w:t>6%</w:t>
            </w:r>
            <w:r>
              <w:rPr>
                <w:rFonts w:eastAsia="Calibri"/>
              </w:rPr>
              <w:t xml:space="preserve"> (Aviation)</w:t>
            </w:r>
          </w:p>
        </w:tc>
      </w:tr>
    </w:tbl>
    <w:p w:rsidR="00FE210E" w:rsidRDefault="00FE210E" w:rsidP="00FE210E">
      <w:pPr>
        <w:tabs>
          <w:tab w:val="left" w:pos="5100"/>
        </w:tabs>
      </w:pPr>
    </w:p>
    <w:p w:rsidR="00FE210E" w:rsidRPr="00EC05F5" w:rsidRDefault="00FE210E" w:rsidP="00FE210E">
      <w:r>
        <w:t xml:space="preserve">As an exploratory analysis for potential impact, Table </w:t>
      </w:r>
      <w:r>
        <w:t>4</w:t>
      </w:r>
      <w:r>
        <w:t xml:space="preserve"> presents the change in interest in STEM fields from the virtual mentoring session. Non-significant increases were observed for Supercomputers, Military Careers, and STEM fields overall. A significant drop in interest was observed for Logistics. This decrease aligns reasonably with the students’ existing career goals, which were fairly heavily concentrated on topics such</w:t>
      </w:r>
      <w:r w:rsidRPr="007B5797">
        <w:t xml:space="preserve"> as biomedicine, engineering, and computer science. </w:t>
      </w:r>
    </w:p>
    <w:p w:rsidR="00FE210E" w:rsidRPr="00FB7B04" w:rsidRDefault="00FE210E" w:rsidP="00FE210E">
      <w:pPr>
        <w:rPr>
          <w:color w:val="000000"/>
          <w:shd w:val="clear" w:color="auto" w:fill="FFFFFF"/>
        </w:rPr>
      </w:pPr>
    </w:p>
    <w:p w:rsidR="00FE210E" w:rsidRPr="00FE210E" w:rsidRDefault="00FE210E" w:rsidP="00FE210E">
      <w:pPr>
        <w:jc w:val="center"/>
        <w:rPr>
          <w:b/>
        </w:rPr>
      </w:pPr>
      <w:proofErr w:type="gramStart"/>
      <w:r w:rsidRPr="00FE210E">
        <w:rPr>
          <w:b/>
          <w:color w:val="000000"/>
          <w:shd w:val="clear" w:color="auto" w:fill="FFFFFF"/>
        </w:rPr>
        <w:t xml:space="preserve">Table </w:t>
      </w:r>
      <w:r>
        <w:rPr>
          <w:b/>
          <w:color w:val="000000"/>
          <w:shd w:val="clear" w:color="auto" w:fill="FFFFFF"/>
        </w:rPr>
        <w:t>4</w:t>
      </w:r>
      <w:r w:rsidRPr="00FE210E">
        <w:rPr>
          <w:b/>
          <w:color w:val="000000"/>
          <w:shd w:val="clear" w:color="auto" w:fill="FFFFFF"/>
        </w:rPr>
        <w:t>.</w:t>
      </w:r>
      <w:proofErr w:type="gramEnd"/>
      <w:r w:rsidRPr="00FE210E">
        <w:rPr>
          <w:b/>
          <w:color w:val="000000"/>
          <w:shd w:val="clear" w:color="auto" w:fill="FFFFFF"/>
        </w:rPr>
        <w:t xml:space="preserve"> Change in interest in STEM and the career fields represented (N=31)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9"/>
        <w:gridCol w:w="900"/>
        <w:gridCol w:w="990"/>
        <w:gridCol w:w="1035"/>
        <w:gridCol w:w="904"/>
        <w:gridCol w:w="1350"/>
      </w:tblGrid>
      <w:tr w:rsidR="00FE210E" w:rsidRPr="00525515" w:rsidTr="00FE210E">
        <w:trPr>
          <w:jc w:val="center"/>
        </w:trPr>
        <w:tc>
          <w:tcPr>
            <w:tcW w:w="2489" w:type="dxa"/>
            <w:vMerge w:val="restart"/>
            <w:shd w:val="clear" w:color="auto" w:fill="auto"/>
          </w:tcPr>
          <w:p w:rsidR="00FE210E" w:rsidRPr="007B5797" w:rsidRDefault="00FE210E" w:rsidP="00F42DE2">
            <w:pPr>
              <w:rPr>
                <w:rFonts w:eastAsia="Calibri"/>
                <w:b/>
              </w:rPr>
            </w:pPr>
            <w:r w:rsidRPr="007B5797">
              <w:rPr>
                <w:rFonts w:eastAsia="Calibri"/>
                <w:b/>
              </w:rPr>
              <w:t>Career(s)</w:t>
            </w:r>
          </w:p>
        </w:tc>
        <w:tc>
          <w:tcPr>
            <w:tcW w:w="1890" w:type="dxa"/>
            <w:gridSpan w:val="2"/>
            <w:shd w:val="clear" w:color="auto" w:fill="auto"/>
            <w:vAlign w:val="center"/>
          </w:tcPr>
          <w:p w:rsidR="00FE210E" w:rsidRPr="007B5797" w:rsidRDefault="00FE210E" w:rsidP="00F42DE2">
            <w:pPr>
              <w:jc w:val="center"/>
              <w:rPr>
                <w:rFonts w:eastAsia="Calibri"/>
                <w:b/>
              </w:rPr>
            </w:pPr>
            <w:r w:rsidRPr="007B5797">
              <w:rPr>
                <w:rFonts w:eastAsia="Calibri"/>
                <w:b/>
              </w:rPr>
              <w:t>Pre-Survey</w:t>
            </w:r>
          </w:p>
          <w:p w:rsidR="00FE210E" w:rsidRPr="00BA18C3" w:rsidRDefault="00FE210E" w:rsidP="00F42DE2">
            <w:pPr>
              <w:jc w:val="center"/>
              <w:rPr>
                <w:rFonts w:eastAsia="Calibri"/>
                <w:b/>
              </w:rPr>
            </w:pPr>
            <w:r w:rsidRPr="00BA18C3">
              <w:rPr>
                <w:rFonts w:eastAsia="Calibri"/>
                <w:b/>
              </w:rPr>
              <w:t>Interest Ratings</w:t>
            </w:r>
          </w:p>
        </w:tc>
        <w:tc>
          <w:tcPr>
            <w:tcW w:w="1939" w:type="dxa"/>
            <w:gridSpan w:val="2"/>
            <w:shd w:val="clear" w:color="auto" w:fill="auto"/>
            <w:vAlign w:val="center"/>
          </w:tcPr>
          <w:p w:rsidR="00FE210E" w:rsidRPr="005451B3" w:rsidRDefault="00FE210E" w:rsidP="00F42DE2">
            <w:pPr>
              <w:jc w:val="center"/>
              <w:rPr>
                <w:rFonts w:eastAsia="Calibri"/>
                <w:b/>
              </w:rPr>
            </w:pPr>
            <w:r w:rsidRPr="00FA2663">
              <w:rPr>
                <w:rFonts w:eastAsia="Calibri"/>
                <w:b/>
              </w:rPr>
              <w:t>Post-Survey Interest Ratings</w:t>
            </w:r>
          </w:p>
        </w:tc>
        <w:tc>
          <w:tcPr>
            <w:tcW w:w="1350" w:type="dxa"/>
            <w:vMerge w:val="restart"/>
            <w:vAlign w:val="center"/>
          </w:tcPr>
          <w:p w:rsidR="00FE210E" w:rsidRPr="00525515" w:rsidRDefault="00FE210E" w:rsidP="00F42DE2">
            <w:pPr>
              <w:jc w:val="center"/>
              <w:rPr>
                <w:rFonts w:eastAsia="Calibri"/>
                <w:b/>
              </w:rPr>
            </w:pPr>
            <w:r w:rsidRPr="005451B3">
              <w:rPr>
                <w:rFonts w:eastAsia="Calibri"/>
                <w:b/>
              </w:rPr>
              <w:t>Dif</w:t>
            </w:r>
            <w:r w:rsidRPr="00525515">
              <w:rPr>
                <w:rFonts w:eastAsia="Calibri"/>
                <w:b/>
              </w:rPr>
              <w:t>ference</w:t>
            </w:r>
          </w:p>
        </w:tc>
      </w:tr>
      <w:tr w:rsidR="00FE210E" w:rsidTr="00FE210E">
        <w:trPr>
          <w:jc w:val="center"/>
        </w:trPr>
        <w:tc>
          <w:tcPr>
            <w:tcW w:w="2489" w:type="dxa"/>
            <w:vMerge/>
            <w:shd w:val="clear" w:color="auto" w:fill="auto"/>
          </w:tcPr>
          <w:p w:rsidR="00FE210E" w:rsidRPr="00F4221E" w:rsidRDefault="00FE210E" w:rsidP="00F42DE2">
            <w:pPr>
              <w:rPr>
                <w:rFonts w:eastAsia="Calibri"/>
                <w:b/>
              </w:rPr>
            </w:pPr>
          </w:p>
        </w:tc>
        <w:tc>
          <w:tcPr>
            <w:tcW w:w="900" w:type="dxa"/>
            <w:shd w:val="clear" w:color="auto" w:fill="auto"/>
            <w:vAlign w:val="center"/>
          </w:tcPr>
          <w:p w:rsidR="00FE210E" w:rsidRPr="00F4221E" w:rsidRDefault="00FE210E" w:rsidP="00F42DE2">
            <w:pPr>
              <w:jc w:val="center"/>
              <w:rPr>
                <w:rFonts w:eastAsia="Calibri"/>
                <w:b/>
              </w:rPr>
            </w:pPr>
            <w:r w:rsidRPr="00F4221E">
              <w:rPr>
                <w:rFonts w:eastAsia="Calibri"/>
                <w:b/>
              </w:rPr>
              <w:t>M</w:t>
            </w:r>
          </w:p>
        </w:tc>
        <w:tc>
          <w:tcPr>
            <w:tcW w:w="990" w:type="dxa"/>
            <w:shd w:val="clear" w:color="auto" w:fill="auto"/>
            <w:vAlign w:val="center"/>
          </w:tcPr>
          <w:p w:rsidR="00FE210E" w:rsidRPr="00F4221E" w:rsidRDefault="00FE210E" w:rsidP="00F42DE2">
            <w:pPr>
              <w:jc w:val="center"/>
              <w:rPr>
                <w:rFonts w:eastAsia="Calibri"/>
                <w:b/>
              </w:rPr>
            </w:pPr>
            <w:r w:rsidRPr="00F4221E">
              <w:rPr>
                <w:rFonts w:eastAsia="Calibri"/>
                <w:b/>
              </w:rPr>
              <w:t>SD</w:t>
            </w:r>
          </w:p>
        </w:tc>
        <w:tc>
          <w:tcPr>
            <w:tcW w:w="1035" w:type="dxa"/>
            <w:shd w:val="clear" w:color="auto" w:fill="auto"/>
            <w:vAlign w:val="center"/>
          </w:tcPr>
          <w:p w:rsidR="00FE210E" w:rsidRPr="00F4221E" w:rsidRDefault="00FE210E" w:rsidP="00F42DE2">
            <w:pPr>
              <w:jc w:val="center"/>
              <w:rPr>
                <w:rFonts w:eastAsia="Calibri"/>
                <w:b/>
              </w:rPr>
            </w:pPr>
            <w:r w:rsidRPr="00F4221E">
              <w:rPr>
                <w:rFonts w:eastAsia="Calibri"/>
                <w:b/>
              </w:rPr>
              <w:t>M</w:t>
            </w:r>
          </w:p>
        </w:tc>
        <w:tc>
          <w:tcPr>
            <w:tcW w:w="904" w:type="dxa"/>
            <w:shd w:val="clear" w:color="auto" w:fill="auto"/>
            <w:vAlign w:val="center"/>
          </w:tcPr>
          <w:p w:rsidR="00FE210E" w:rsidRPr="00F4221E" w:rsidRDefault="00FE210E" w:rsidP="00F42DE2">
            <w:pPr>
              <w:jc w:val="center"/>
              <w:rPr>
                <w:rFonts w:eastAsia="Calibri"/>
                <w:b/>
              </w:rPr>
            </w:pPr>
            <w:r w:rsidRPr="00F4221E">
              <w:rPr>
                <w:rFonts w:eastAsia="Calibri"/>
                <w:b/>
              </w:rPr>
              <w:t>SD</w:t>
            </w:r>
          </w:p>
        </w:tc>
        <w:tc>
          <w:tcPr>
            <w:tcW w:w="1350" w:type="dxa"/>
            <w:vMerge/>
            <w:vAlign w:val="center"/>
          </w:tcPr>
          <w:p w:rsidR="00FE210E" w:rsidRPr="00F4221E" w:rsidRDefault="00FE210E" w:rsidP="00F42DE2">
            <w:pPr>
              <w:jc w:val="center"/>
              <w:rPr>
                <w:rFonts w:eastAsia="Calibri"/>
                <w:b/>
              </w:rPr>
            </w:pPr>
          </w:p>
        </w:tc>
      </w:tr>
      <w:tr w:rsidR="00FE210E" w:rsidTr="00FE210E">
        <w:trPr>
          <w:jc w:val="center"/>
        </w:trPr>
        <w:tc>
          <w:tcPr>
            <w:tcW w:w="2489" w:type="dxa"/>
            <w:shd w:val="clear" w:color="auto" w:fill="auto"/>
            <w:vAlign w:val="center"/>
          </w:tcPr>
          <w:p w:rsidR="00FE210E" w:rsidRPr="00F4221E" w:rsidRDefault="00FE210E" w:rsidP="00F42DE2">
            <w:pPr>
              <w:rPr>
                <w:rFonts w:eastAsia="Calibri"/>
              </w:rPr>
            </w:pPr>
            <w:r w:rsidRPr="00F4221E">
              <w:rPr>
                <w:rFonts w:eastAsia="Calibri"/>
              </w:rPr>
              <w:t>Computer Science</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3.5</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1.2</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3.55</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1.36</w:t>
            </w:r>
          </w:p>
        </w:tc>
        <w:tc>
          <w:tcPr>
            <w:tcW w:w="1350" w:type="dxa"/>
            <w:vAlign w:val="center"/>
          </w:tcPr>
          <w:p w:rsidR="00FE210E" w:rsidRPr="00F4221E" w:rsidRDefault="00FE210E" w:rsidP="00F42DE2">
            <w:pPr>
              <w:jc w:val="center"/>
              <w:rPr>
                <w:color w:val="000000"/>
              </w:rPr>
            </w:pPr>
            <w:r w:rsidRPr="00F4221E">
              <w:rPr>
                <w:color w:val="000000"/>
              </w:rPr>
              <w:t>0.05</w:t>
            </w:r>
          </w:p>
        </w:tc>
      </w:tr>
      <w:tr w:rsidR="00FE210E" w:rsidTr="00FE210E">
        <w:trPr>
          <w:jc w:val="center"/>
        </w:trPr>
        <w:tc>
          <w:tcPr>
            <w:tcW w:w="2489" w:type="dxa"/>
            <w:shd w:val="clear" w:color="auto" w:fill="auto"/>
            <w:vAlign w:val="center"/>
          </w:tcPr>
          <w:p w:rsidR="00FE210E" w:rsidRPr="00F4221E" w:rsidRDefault="00FE210E" w:rsidP="00F42DE2">
            <w:pPr>
              <w:rPr>
                <w:rFonts w:eastAsia="Calibri"/>
              </w:rPr>
            </w:pPr>
            <w:r w:rsidRPr="00FB7B04">
              <w:rPr>
                <w:color w:val="000000"/>
              </w:rPr>
              <w:t>Electrical Engineering</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2.97</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1.25</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3.03</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1.27</w:t>
            </w:r>
          </w:p>
        </w:tc>
        <w:tc>
          <w:tcPr>
            <w:tcW w:w="1350" w:type="dxa"/>
            <w:vAlign w:val="center"/>
          </w:tcPr>
          <w:p w:rsidR="00FE210E" w:rsidRPr="00F4221E" w:rsidRDefault="00FE210E" w:rsidP="00F42DE2">
            <w:pPr>
              <w:jc w:val="center"/>
              <w:rPr>
                <w:color w:val="000000"/>
              </w:rPr>
            </w:pPr>
            <w:r w:rsidRPr="00F4221E">
              <w:rPr>
                <w:color w:val="000000"/>
              </w:rPr>
              <w:t>0.06</w:t>
            </w:r>
          </w:p>
        </w:tc>
      </w:tr>
      <w:tr w:rsidR="00FE210E" w:rsidTr="00FE210E">
        <w:trPr>
          <w:trHeight w:val="354"/>
          <w:jc w:val="center"/>
        </w:trPr>
        <w:tc>
          <w:tcPr>
            <w:tcW w:w="2489" w:type="dxa"/>
            <w:shd w:val="clear" w:color="auto" w:fill="auto"/>
            <w:vAlign w:val="bottom"/>
          </w:tcPr>
          <w:p w:rsidR="00FE210E" w:rsidRPr="00F4221E" w:rsidRDefault="00FE210E" w:rsidP="00F42DE2">
            <w:pPr>
              <w:rPr>
                <w:rFonts w:eastAsia="Calibri"/>
              </w:rPr>
            </w:pPr>
            <w:r w:rsidRPr="00FB7B04">
              <w:rPr>
                <w:color w:val="000000"/>
              </w:rPr>
              <w:t>Logistics</w:t>
            </w:r>
          </w:p>
        </w:tc>
        <w:tc>
          <w:tcPr>
            <w:tcW w:w="900" w:type="dxa"/>
            <w:shd w:val="clear" w:color="auto" w:fill="auto"/>
            <w:vAlign w:val="center"/>
          </w:tcPr>
          <w:p w:rsidR="00FE210E" w:rsidRPr="00F4221E" w:rsidRDefault="00FE210E" w:rsidP="00F42DE2">
            <w:pPr>
              <w:jc w:val="center"/>
              <w:rPr>
                <w:color w:val="000000"/>
              </w:rPr>
            </w:pPr>
            <w:r w:rsidRPr="00F4221E">
              <w:rPr>
                <w:color w:val="000000"/>
              </w:rPr>
              <w:t>3.13</w:t>
            </w:r>
          </w:p>
        </w:tc>
        <w:tc>
          <w:tcPr>
            <w:tcW w:w="990" w:type="dxa"/>
            <w:shd w:val="clear" w:color="auto" w:fill="auto"/>
            <w:vAlign w:val="center"/>
          </w:tcPr>
          <w:p w:rsidR="00FE210E" w:rsidRPr="00F4221E" w:rsidRDefault="00FE210E" w:rsidP="00F42DE2">
            <w:pPr>
              <w:jc w:val="center"/>
              <w:rPr>
                <w:color w:val="000000"/>
              </w:rPr>
            </w:pPr>
            <w:r w:rsidRPr="00F4221E">
              <w:rPr>
                <w:color w:val="000000"/>
              </w:rPr>
              <w:t>0.81</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2.71</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0.97</w:t>
            </w:r>
          </w:p>
        </w:tc>
        <w:tc>
          <w:tcPr>
            <w:tcW w:w="1350" w:type="dxa"/>
            <w:vAlign w:val="center"/>
          </w:tcPr>
          <w:p w:rsidR="00FE210E" w:rsidRPr="00F4221E" w:rsidRDefault="00FE210E" w:rsidP="00F42DE2">
            <w:pPr>
              <w:jc w:val="center"/>
              <w:rPr>
                <w:color w:val="000000"/>
                <w:vertAlign w:val="superscript"/>
              </w:rPr>
            </w:pPr>
            <w:r w:rsidRPr="00F4221E">
              <w:rPr>
                <w:color w:val="000000"/>
              </w:rPr>
              <w:t>-0.42</w:t>
            </w:r>
            <w:r w:rsidRPr="00F4221E">
              <w:rPr>
                <w:color w:val="000000"/>
                <w:vertAlign w:val="superscript"/>
              </w:rPr>
              <w:t>*</w:t>
            </w:r>
          </w:p>
        </w:tc>
      </w:tr>
      <w:tr w:rsidR="00FE210E" w:rsidTr="00FE210E">
        <w:trPr>
          <w:trHeight w:val="444"/>
          <w:jc w:val="center"/>
        </w:trPr>
        <w:tc>
          <w:tcPr>
            <w:tcW w:w="2489" w:type="dxa"/>
            <w:shd w:val="clear" w:color="auto" w:fill="auto"/>
            <w:vAlign w:val="bottom"/>
          </w:tcPr>
          <w:p w:rsidR="00FE210E" w:rsidRPr="00F4221E" w:rsidRDefault="00FE210E" w:rsidP="00F42DE2">
            <w:pPr>
              <w:rPr>
                <w:rFonts w:eastAsia="Calibri"/>
              </w:rPr>
            </w:pPr>
            <w:r w:rsidRPr="00F4221E">
              <w:rPr>
                <w:color w:val="000000"/>
              </w:rPr>
              <w:t>Supercomputers / High Performance Computing</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3.03</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1.43</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3.19</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1.33</w:t>
            </w:r>
          </w:p>
        </w:tc>
        <w:tc>
          <w:tcPr>
            <w:tcW w:w="1350" w:type="dxa"/>
            <w:vAlign w:val="center"/>
          </w:tcPr>
          <w:p w:rsidR="00FE210E" w:rsidRPr="00F4221E" w:rsidRDefault="00FE210E" w:rsidP="00F42DE2">
            <w:pPr>
              <w:jc w:val="center"/>
              <w:rPr>
                <w:rFonts w:eastAsia="Calibri"/>
              </w:rPr>
            </w:pPr>
            <w:r w:rsidRPr="00F4221E">
              <w:rPr>
                <w:rFonts w:eastAsia="Calibri"/>
              </w:rPr>
              <w:t>0.16</w:t>
            </w:r>
          </w:p>
        </w:tc>
      </w:tr>
      <w:tr w:rsidR="00FE210E" w:rsidTr="00FE210E">
        <w:trPr>
          <w:trHeight w:val="444"/>
          <w:jc w:val="center"/>
        </w:trPr>
        <w:tc>
          <w:tcPr>
            <w:tcW w:w="2489" w:type="dxa"/>
            <w:shd w:val="clear" w:color="auto" w:fill="auto"/>
            <w:vAlign w:val="bottom"/>
          </w:tcPr>
          <w:p w:rsidR="00FE210E" w:rsidRPr="00F4221E" w:rsidRDefault="00FE210E" w:rsidP="00F42DE2">
            <w:pPr>
              <w:rPr>
                <w:rFonts w:eastAsia="Calibri"/>
              </w:rPr>
            </w:pPr>
            <w:r w:rsidRPr="00F4221E">
              <w:rPr>
                <w:color w:val="000000"/>
              </w:rPr>
              <w:t>Systems Engineering</w:t>
            </w:r>
          </w:p>
        </w:tc>
        <w:tc>
          <w:tcPr>
            <w:tcW w:w="900" w:type="dxa"/>
            <w:shd w:val="clear" w:color="auto" w:fill="auto"/>
            <w:vAlign w:val="center"/>
          </w:tcPr>
          <w:p w:rsidR="00FE210E" w:rsidRPr="00F4221E" w:rsidRDefault="00FE210E" w:rsidP="00F42DE2">
            <w:pPr>
              <w:jc w:val="center"/>
              <w:rPr>
                <w:color w:val="000000"/>
              </w:rPr>
            </w:pPr>
            <w:r w:rsidRPr="00F4221E">
              <w:rPr>
                <w:color w:val="000000"/>
              </w:rPr>
              <w:t>2.94</w:t>
            </w:r>
          </w:p>
        </w:tc>
        <w:tc>
          <w:tcPr>
            <w:tcW w:w="990" w:type="dxa"/>
            <w:shd w:val="clear" w:color="auto" w:fill="auto"/>
            <w:vAlign w:val="center"/>
          </w:tcPr>
          <w:p w:rsidR="00FE210E" w:rsidRPr="00F4221E" w:rsidRDefault="00FE210E" w:rsidP="00F42DE2">
            <w:pPr>
              <w:jc w:val="center"/>
              <w:rPr>
                <w:color w:val="000000"/>
              </w:rPr>
            </w:pPr>
            <w:r w:rsidRPr="00F4221E">
              <w:rPr>
                <w:color w:val="000000"/>
              </w:rPr>
              <w:t>1.00</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2.87</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0.92</w:t>
            </w:r>
          </w:p>
        </w:tc>
        <w:tc>
          <w:tcPr>
            <w:tcW w:w="1350" w:type="dxa"/>
            <w:vAlign w:val="center"/>
          </w:tcPr>
          <w:p w:rsidR="00FE210E" w:rsidRPr="00F4221E" w:rsidRDefault="00FE210E" w:rsidP="00F42DE2">
            <w:pPr>
              <w:jc w:val="center"/>
              <w:rPr>
                <w:rFonts w:eastAsia="Calibri"/>
              </w:rPr>
            </w:pPr>
            <w:r w:rsidRPr="00F4221E">
              <w:rPr>
                <w:rFonts w:eastAsia="Calibri"/>
              </w:rPr>
              <w:t>0.07</w:t>
            </w:r>
          </w:p>
        </w:tc>
      </w:tr>
      <w:tr w:rsidR="00FE210E" w:rsidTr="00FE210E">
        <w:trPr>
          <w:trHeight w:val="444"/>
          <w:jc w:val="center"/>
        </w:trPr>
        <w:tc>
          <w:tcPr>
            <w:tcW w:w="2489" w:type="dxa"/>
            <w:shd w:val="clear" w:color="auto" w:fill="auto"/>
            <w:vAlign w:val="bottom"/>
          </w:tcPr>
          <w:p w:rsidR="00FE210E" w:rsidRPr="00F4221E" w:rsidRDefault="00FE210E" w:rsidP="00F42DE2">
            <w:pPr>
              <w:rPr>
                <w:color w:val="000000"/>
              </w:rPr>
            </w:pPr>
            <w:r w:rsidRPr="00F4221E">
              <w:rPr>
                <w:color w:val="000000"/>
              </w:rPr>
              <w:t>STEM Overall</w:t>
            </w:r>
          </w:p>
        </w:tc>
        <w:tc>
          <w:tcPr>
            <w:tcW w:w="900" w:type="dxa"/>
            <w:shd w:val="clear" w:color="auto" w:fill="auto"/>
            <w:vAlign w:val="center"/>
          </w:tcPr>
          <w:p w:rsidR="00FE210E" w:rsidRPr="00F4221E" w:rsidRDefault="00FE210E" w:rsidP="00F42DE2">
            <w:pPr>
              <w:jc w:val="center"/>
              <w:rPr>
                <w:color w:val="000000"/>
              </w:rPr>
            </w:pPr>
            <w:r w:rsidRPr="00F4221E">
              <w:rPr>
                <w:color w:val="000000"/>
              </w:rPr>
              <w:t>4.35</w:t>
            </w:r>
          </w:p>
        </w:tc>
        <w:tc>
          <w:tcPr>
            <w:tcW w:w="990" w:type="dxa"/>
            <w:shd w:val="clear" w:color="auto" w:fill="auto"/>
            <w:vAlign w:val="center"/>
          </w:tcPr>
          <w:p w:rsidR="00FE210E" w:rsidRPr="00F4221E" w:rsidRDefault="00FE210E" w:rsidP="00F42DE2">
            <w:pPr>
              <w:jc w:val="center"/>
              <w:rPr>
                <w:color w:val="000000"/>
              </w:rPr>
            </w:pPr>
            <w:r w:rsidRPr="00F4221E">
              <w:rPr>
                <w:color w:val="000000"/>
              </w:rPr>
              <w:t>0.88</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4.48</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0.85</w:t>
            </w:r>
          </w:p>
        </w:tc>
        <w:tc>
          <w:tcPr>
            <w:tcW w:w="1350" w:type="dxa"/>
            <w:vAlign w:val="center"/>
          </w:tcPr>
          <w:p w:rsidR="00FE210E" w:rsidRPr="00F4221E" w:rsidRDefault="00FE210E" w:rsidP="00F42DE2">
            <w:pPr>
              <w:jc w:val="center"/>
              <w:rPr>
                <w:rFonts w:eastAsia="Calibri"/>
              </w:rPr>
            </w:pPr>
            <w:r w:rsidRPr="00F4221E">
              <w:rPr>
                <w:rFonts w:eastAsia="Calibri"/>
              </w:rPr>
              <w:t>0.13</w:t>
            </w:r>
          </w:p>
        </w:tc>
      </w:tr>
      <w:tr w:rsidR="00FE210E" w:rsidTr="00FE210E">
        <w:trPr>
          <w:trHeight w:val="444"/>
          <w:jc w:val="center"/>
        </w:trPr>
        <w:tc>
          <w:tcPr>
            <w:tcW w:w="2489" w:type="dxa"/>
            <w:shd w:val="clear" w:color="auto" w:fill="auto"/>
            <w:vAlign w:val="bottom"/>
          </w:tcPr>
          <w:p w:rsidR="00FE210E" w:rsidRPr="00F4221E" w:rsidRDefault="00FE210E" w:rsidP="00F42DE2">
            <w:pPr>
              <w:rPr>
                <w:color w:val="000000"/>
              </w:rPr>
            </w:pPr>
            <w:r w:rsidRPr="00F4221E">
              <w:rPr>
                <w:color w:val="000000"/>
              </w:rPr>
              <w:t>Military</w:t>
            </w:r>
          </w:p>
        </w:tc>
        <w:tc>
          <w:tcPr>
            <w:tcW w:w="900" w:type="dxa"/>
            <w:shd w:val="clear" w:color="auto" w:fill="auto"/>
            <w:vAlign w:val="center"/>
          </w:tcPr>
          <w:p w:rsidR="00FE210E" w:rsidRPr="00F4221E" w:rsidRDefault="00FE210E" w:rsidP="00F42DE2">
            <w:pPr>
              <w:jc w:val="center"/>
              <w:rPr>
                <w:color w:val="000000"/>
              </w:rPr>
            </w:pPr>
            <w:r w:rsidRPr="00F4221E">
              <w:rPr>
                <w:color w:val="000000"/>
              </w:rPr>
              <w:t>2.55</w:t>
            </w:r>
          </w:p>
        </w:tc>
        <w:tc>
          <w:tcPr>
            <w:tcW w:w="990" w:type="dxa"/>
            <w:shd w:val="clear" w:color="auto" w:fill="auto"/>
            <w:vAlign w:val="center"/>
          </w:tcPr>
          <w:p w:rsidR="00FE210E" w:rsidRPr="00F4221E" w:rsidRDefault="00FE210E" w:rsidP="00F42DE2">
            <w:pPr>
              <w:jc w:val="center"/>
              <w:rPr>
                <w:color w:val="000000"/>
              </w:rPr>
            </w:pPr>
            <w:r w:rsidRPr="00F4221E">
              <w:rPr>
                <w:color w:val="000000"/>
              </w:rPr>
              <w:t>1.46</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2.74</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1.41</w:t>
            </w:r>
          </w:p>
        </w:tc>
        <w:tc>
          <w:tcPr>
            <w:tcW w:w="1350" w:type="dxa"/>
            <w:vAlign w:val="center"/>
          </w:tcPr>
          <w:p w:rsidR="00FE210E" w:rsidRPr="00F4221E" w:rsidRDefault="00FE210E" w:rsidP="00F42DE2">
            <w:pPr>
              <w:jc w:val="center"/>
              <w:rPr>
                <w:rFonts w:eastAsia="Calibri"/>
              </w:rPr>
            </w:pPr>
            <w:r w:rsidRPr="00F4221E">
              <w:rPr>
                <w:rFonts w:eastAsia="Calibri"/>
              </w:rPr>
              <w:t>0.19</w:t>
            </w:r>
          </w:p>
        </w:tc>
      </w:tr>
    </w:tbl>
    <w:p w:rsidR="00FE210E" w:rsidRDefault="00FE210E" w:rsidP="00FE210E">
      <w:pPr>
        <w:tabs>
          <w:tab w:val="left" w:pos="5100"/>
        </w:tabs>
        <w:jc w:val="center"/>
      </w:pPr>
      <w:r>
        <w:rPr>
          <w:vertAlign w:val="superscript"/>
        </w:rPr>
        <w:t>*</w:t>
      </w:r>
      <w:r w:rsidRPr="00FC70C9">
        <w:t>p&lt;0.05</w:t>
      </w:r>
      <w:proofErr w:type="gramStart"/>
      <w:r>
        <w:t xml:space="preserve">, </w:t>
      </w:r>
      <w:r>
        <w:rPr>
          <w:vertAlign w:val="superscript"/>
        </w:rPr>
        <w:t xml:space="preserve"> *</w:t>
      </w:r>
      <w:proofErr w:type="gramEnd"/>
      <w:r>
        <w:rPr>
          <w:vertAlign w:val="superscript"/>
        </w:rPr>
        <w:t>*</w:t>
      </w:r>
      <w:r w:rsidRPr="00FC70C9">
        <w:t>p&lt;0.01 on two-tailed t-test</w:t>
      </w:r>
    </w:p>
    <w:p w:rsidR="00FE210E" w:rsidRDefault="00FE210E" w:rsidP="00FE210E"/>
    <w:p w:rsidR="00FE210E" w:rsidRDefault="00FE210E" w:rsidP="00E50C82">
      <w:pPr>
        <w:ind w:right="720"/>
      </w:pPr>
    </w:p>
    <w:p w:rsidR="00A20685" w:rsidRDefault="00A20685" w:rsidP="00E50C82">
      <w:pPr>
        <w:ind w:right="720"/>
      </w:pPr>
    </w:p>
    <w:p w:rsidR="00772BFA" w:rsidRPr="00860CA4" w:rsidRDefault="00F32076" w:rsidP="00772BFA">
      <w:pPr>
        <w:pStyle w:val="Heading1"/>
        <w:jc w:val="left"/>
        <w:rPr>
          <w:caps/>
        </w:rPr>
      </w:pPr>
      <w:r>
        <w:rPr>
          <w:caps/>
        </w:rPr>
        <w:t>Learning Analytics in a system</w:t>
      </w:r>
    </w:p>
    <w:p w:rsidR="00772BFA" w:rsidRDefault="00F65A70" w:rsidP="00116784">
      <w:r>
        <w:t xml:space="preserve">The vision that is only partially complete may warrant some discussion at this juncture.  The capabilities of Learning Analytics and its many subcomponents </w:t>
      </w:r>
      <w:r w:rsidR="00047BF8">
        <w:t>could become a major driver for the future of education, in all of its manifestations.  To start with, it seems certain to be poised to strike disruptive blows on both sides of some very familiar pedagogical divides: formal and informal education, in-person and on-line education, self;-paced and semester-scheduled classroom instruction, didactic and constructive, to name a few.  All of these would be amenable to, if not crying out for,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116784" w:rsidP="00772BFA">
      <w:pPr>
        <w:pStyle w:val="BodyText2"/>
        <w:rPr>
          <w:iCs w:val="0"/>
        </w:rPr>
      </w:pPr>
      <w:r>
        <w:rPr>
          <w:iCs w:val="0"/>
        </w:rPr>
        <w:t xml:space="preserve">First, it may be illuminating to see how the technologies might be implemented to address current hurdles in computer assisted training, education and counseling. Then the paper will address how these may be exploited to </w:t>
      </w:r>
      <w:r>
        <w:rPr>
          <w:iCs w:val="0"/>
        </w:rPr>
        <w:lastRenderedPageBreak/>
        <w:t>enhance current efforts at the University of Southern California and elsewhere to present an improved and more human-like interface.</w:t>
      </w:r>
    </w:p>
    <w:p w:rsidR="00116784" w:rsidRDefault="00116784" w:rsidP="00772BFA">
      <w:pPr>
        <w:pStyle w:val="BodyText2"/>
        <w:rPr>
          <w:iCs w:val="0"/>
        </w:rPr>
      </w:pPr>
    </w:p>
    <w:p w:rsidR="003C4623" w:rsidRPr="00116784" w:rsidRDefault="003C4623" w:rsidP="00116784">
      <w:pPr>
        <w:rPr>
          <w:b/>
        </w:rPr>
      </w:pPr>
      <w:r w:rsidRPr="00116784">
        <w:rPr>
          <w:b/>
        </w:rPr>
        <w:t xml:space="preserve">Learning Analytics </w:t>
      </w:r>
    </w:p>
    <w:p w:rsidR="003C4623" w:rsidRDefault="0096483D" w:rsidP="00116784">
      <w:r>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116784"/>
    <w:p w:rsidR="003C4623" w:rsidRPr="00116784" w:rsidRDefault="003C4623" w:rsidP="00116784">
      <w:pPr>
        <w:rPr>
          <w:b/>
        </w:rPr>
      </w:pPr>
      <w:r w:rsidRPr="00116784">
        <w:rPr>
          <w:b/>
        </w:rPr>
        <w:t>Deep Learning</w:t>
      </w:r>
    </w:p>
    <w:p w:rsidR="003C4623" w:rsidRDefault="009955FC" w:rsidP="00116784">
      <w:r>
        <w:t>One of the aspects of Learning Analytics is establishing the context in which targeted educational goals will be pursued and then accessing the necessary information to allow adequate presentation of the selected pedagogical approach.  Deep Learning can fill this gap.  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116784"/>
    <w:p w:rsidR="003C4623" w:rsidRPr="00116784" w:rsidRDefault="003C4623" w:rsidP="00116784">
      <w:pPr>
        <w:rPr>
          <w:b/>
        </w:rPr>
      </w:pPr>
      <w:r w:rsidRPr="00116784">
        <w:rPr>
          <w:b/>
        </w:rPr>
        <w:t>Neural Net Training</w:t>
      </w:r>
    </w:p>
    <w:p w:rsidR="003C4623" w:rsidRDefault="00614716" w:rsidP="00116784">
      <w:r>
        <w:t>Any time a figure of merit can be established, Neural Net Training or Evolutionary Computing has been shown to be very effective at optimizing solutions and discovery hitherto unrecognized methods for achieving the optimal score on the figure of merit.  While this has not found wide application in education and training, it will now be enabled by the other sub-programs in Learning Analytics.  Always allowing for safe-guards in the decision process and fail safes in the implementation phases, Neural Net Training can relieve the educator of much of the burden of the drudgery of the administration of education.</w:t>
      </w:r>
    </w:p>
    <w:p w:rsidR="0096483D" w:rsidRDefault="0096483D" w:rsidP="00116784"/>
    <w:p w:rsidR="003C4623" w:rsidRPr="00116784" w:rsidRDefault="003C4623" w:rsidP="00116784">
      <w:pPr>
        <w:rPr>
          <w:b/>
        </w:rPr>
      </w:pPr>
      <w:r w:rsidRPr="00116784">
        <w:rPr>
          <w:b/>
        </w:rPr>
        <w:t>Meta-Disciplinary Efforts</w:t>
      </w:r>
    </w:p>
    <w:p w:rsidR="003C4623" w:rsidRDefault="00756072" w:rsidP="00116784">
      <w:r>
        <w:t xml:space="preserve">By its still evolving definition, </w:t>
      </w:r>
      <w:proofErr w:type="gramStart"/>
      <w:r>
        <w:t>Learning</w:t>
      </w:r>
      <w:proofErr w:type="gramEnd"/>
      <w:r>
        <w:t xml:space="preserve"> Analytics is multi-disciplinary and it effective implementation and use will require the participation of several other components of the over-all solution.  The inclusion of the behavioral sciences, pedagogies, human factors, and physiology will make this a paradigm case for a new and more synergistic amalgam of the broadest range of disciplines</w:t>
      </w:r>
    </w:p>
    <w:p w:rsidR="0096483D" w:rsidRDefault="0096483D" w:rsidP="00116784"/>
    <w:p w:rsidR="003C4623" w:rsidRPr="00116784" w:rsidRDefault="003C4623" w:rsidP="00116784">
      <w:pPr>
        <w:rPr>
          <w:b/>
        </w:rPr>
      </w:pPr>
      <w:r w:rsidRPr="00116784">
        <w:rPr>
          <w:b/>
        </w:rPr>
        <w:t>Social Network Analysis</w:t>
      </w:r>
    </w:p>
    <w:p w:rsidR="003C4623" w:rsidRDefault="00756072" w:rsidP="00116784">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proofErr w:type="spellStart"/>
      <w:r>
        <w:t>tthis</w:t>
      </w:r>
      <w:proofErr w:type="spellEnd"/>
      <w:r>
        <w:t xml:space="preserve"> communication realm can be </w:t>
      </w:r>
      <w:proofErr w:type="gramStart"/>
      <w:r>
        <w:t>enhance</w:t>
      </w:r>
      <w:proofErr w:type="gramEnd"/>
      <w:r>
        <w:t xml:space="preserve"> by the previously mentioned Deep Learning and Neural Net Training. </w:t>
      </w:r>
    </w:p>
    <w:p w:rsidR="0096483D" w:rsidRDefault="0096483D" w:rsidP="00116784"/>
    <w:p w:rsidR="003C4623" w:rsidRPr="00116784" w:rsidRDefault="003C4623" w:rsidP="00116784">
      <w:pPr>
        <w:rPr>
          <w:b/>
        </w:rPr>
      </w:pPr>
      <w:r w:rsidRPr="00116784">
        <w:rPr>
          <w:b/>
        </w:rPr>
        <w:t>Data Mining</w:t>
      </w:r>
    </w:p>
    <w:p w:rsidR="003C4623" w:rsidRDefault="00742F0D" w:rsidP="00116784">
      <w:r>
        <w:t>This is the "first cousin" of Deep Learning.  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116784"/>
    <w:p w:rsidR="003C4623" w:rsidRPr="00116784" w:rsidRDefault="003C4623" w:rsidP="00116784">
      <w:pPr>
        <w:rPr>
          <w:b/>
        </w:rPr>
      </w:pPr>
      <w:r w:rsidRPr="00116784">
        <w:rPr>
          <w:b/>
        </w:rPr>
        <w:t>Natural Language Processing</w:t>
      </w:r>
      <w:r w:rsidR="00917EE5">
        <w:rPr>
          <w:b/>
        </w:rPr>
        <w:t xml:space="preserve"> (NLP)</w:t>
      </w:r>
    </w:p>
    <w:p w:rsidR="003C4623" w:rsidRDefault="00742F0D" w:rsidP="00116784">
      <w:r>
        <w:t xml:space="preserve">Most everyone is now familiar with, if not a frequent user of, Sire, Alexa, or their "companions." Their responsiveness to questions: "Alexa; how cold is it </w:t>
      </w:r>
      <w:proofErr w:type="spellStart"/>
      <w:r>
        <w:t>inWashington</w:t>
      </w:r>
      <w:proofErr w:type="spellEnd"/>
      <w:r>
        <w:t>, D.C.?" or to simple commands: "Siri; set timer for ten minutes.</w:t>
      </w:r>
      <w:proofErr w:type="gramStart"/>
      <w:r>
        <w:t>".</w:t>
      </w:r>
      <w:proofErr w:type="gramEnd"/>
      <w:r>
        <w:t xml:space="preserve"> However, the next great leap will be situation awareness: "You seem a little down today." and conversation initiation or topic </w:t>
      </w:r>
      <w:r w:rsidR="00917EE5">
        <w:t xml:space="preserve">change: Siri: "I'd like to talk to you about your last test." or Alexa: "Let's not get </w:t>
      </w:r>
      <w:r w:rsidR="00917EE5">
        <w:lastRenderedPageBreak/>
        <w:t>angry, but let's talk about why you did poorly on the exam.</w:t>
      </w:r>
      <w:proofErr w:type="gramStart"/>
      <w:r w:rsidR="00917EE5">
        <w:t>".</w:t>
      </w:r>
      <w:proofErr w:type="gramEnd"/>
      <w:r w:rsidR="00917EE5">
        <w:t xml:space="preserve"> NLP will need a lot of input from Learning Analytics to achieve this, but then it will be able to provide a new dimension to learning endeavors.</w:t>
      </w:r>
    </w:p>
    <w:p w:rsidR="0096483D" w:rsidRDefault="0096483D" w:rsidP="00116784"/>
    <w:p w:rsidR="003C4623" w:rsidRPr="00116784" w:rsidRDefault="003C4623" w:rsidP="00116784">
      <w:pPr>
        <w:rPr>
          <w:b/>
        </w:rPr>
      </w:pPr>
      <w:r w:rsidRPr="00116784">
        <w:rPr>
          <w:b/>
        </w:rPr>
        <w:t>Data Visualization</w:t>
      </w:r>
    </w:p>
    <w:p w:rsidR="00772BFA" w:rsidRDefault="00917EE5" w:rsidP="00772BFA">
      <w:r>
        <w:t xml:space="preserve">As the data and access to it becomes more available, the next question will be how </w:t>
      </w:r>
      <w:proofErr w:type="gramStart"/>
      <w:r>
        <w:t>can it</w:t>
      </w:r>
      <w:proofErr w:type="gramEnd"/>
      <w:r>
        <w:t xml:space="preserve"> be managed to provide useful data to learners, teachers, and evaluators. Data Visualizations are now largely hand designed and created as more like works of art than products of science.  </w:t>
      </w:r>
      <w:proofErr w:type="gramStart"/>
      <w:r>
        <w:t xml:space="preserve">Finding ways to make this automatic, economic and </w:t>
      </w:r>
      <w:r w:rsidR="00B37BC3">
        <w:t>significant.</w:t>
      </w:r>
      <w:proofErr w:type="gramEnd"/>
    </w:p>
    <w:p w:rsidR="00F32076" w:rsidRDefault="00F32076" w:rsidP="00772BFA"/>
    <w:p w:rsidR="00F32076" w:rsidRDefault="00F32076" w:rsidP="00772BFA"/>
    <w:p w:rsidR="00F32076" w:rsidRPr="00860CA4" w:rsidRDefault="00F32076" w:rsidP="00F32076">
      <w:pPr>
        <w:pStyle w:val="Heading1"/>
        <w:jc w:val="left"/>
        <w:rPr>
          <w:caps/>
        </w:rPr>
      </w:pPr>
      <w:r w:rsidRPr="00860CA4">
        <w:rPr>
          <w:caps/>
        </w:rPr>
        <w:t>Implementation</w:t>
      </w:r>
    </w:p>
    <w:p w:rsidR="00772BFA" w:rsidRDefault="00772BFA" w:rsidP="00772BFA"/>
    <w:p w:rsidR="00F32076" w:rsidRPr="00F32076" w:rsidRDefault="00F32076" w:rsidP="00772BFA">
      <w:pPr>
        <w:rPr>
          <w:b/>
        </w:rPr>
      </w:pPr>
      <w:r w:rsidRPr="00F32076">
        <w:rPr>
          <w:b/>
        </w:rPr>
        <w:t>Injecting Learning Analytics Input into MentorPal</w:t>
      </w:r>
    </w:p>
    <w:p w:rsidR="00F32076" w:rsidRDefault="00F32076" w:rsidP="00772BFA">
      <w:r>
        <w:t xml:space="preserve">In order to make timely use of the insights provided by Learning Analytics, it is necessary to contemplate how those results could be injected in the process. Naturally, the operators and the designers would be able to make good use of the findings, but that process could also be accelerated by real-time interjection of germane data. </w:t>
      </w:r>
    </w:p>
    <w:p w:rsidR="00F32076" w:rsidRDefault="00F32076" w:rsidP="00772BFA"/>
    <w:p w:rsidR="00F32076" w:rsidRDefault="00F32076" w:rsidP="00F32076">
      <w:r>
        <w:t>For the MentorPal system to emulate talking with a mentor, a dialog engine was required. This engine was actively revised to optimize multiple goals: response latency, classification quality, dialog moves (</w:t>
      </w:r>
      <w:r w:rsidRPr="00F32076">
        <w:rPr>
          <w:i/>
        </w:rPr>
        <w:t>e.g</w:t>
      </w:r>
      <w:r>
        <w:t xml:space="preserve">., handling repeat questions), and system resources (e.g., available RAM; </w:t>
      </w:r>
      <w:r w:rsidRPr="003B03FE">
        <w:t xml:space="preserve">Kaimakis, Davis, Breck, &amp; Nye, </w:t>
      </w:r>
      <w:r>
        <w:t>2018). The set of features used in the usability study included the ones that were most stable and useful, while certain experimental features were disabled.</w:t>
      </w:r>
    </w:p>
    <w:p w:rsidR="00F32076" w:rsidRDefault="00F32076" w:rsidP="00F32076">
      <w:pPr>
        <w:ind w:firstLine="720"/>
      </w:pPr>
    </w:p>
    <w:p w:rsidR="00F32076" w:rsidRDefault="00F32076" w:rsidP="00F32076">
      <w:pPr>
        <w:keepNext/>
        <w:jc w:val="center"/>
      </w:pPr>
      <w:r>
        <w:rPr>
          <w:noProof/>
        </w:rPr>
        <w:drawing>
          <wp:inline distT="0" distB="0" distL="0" distR="0">
            <wp:extent cx="5391150" cy="3313584"/>
            <wp:effectExtent l="19050" t="0" r="0" b="0"/>
            <wp:docPr id="15" name="Picture 6" descr="MentorPalEnsembleClass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PalEnsembleClassifier"/>
                    <pic:cNvPicPr>
                      <a:picLocks noChangeAspect="1" noChangeArrowheads="1"/>
                    </pic:cNvPicPr>
                  </pic:nvPicPr>
                  <pic:blipFill>
                    <a:blip r:embed="rId12" cstate="print"/>
                    <a:stretch>
                      <a:fillRect/>
                    </a:stretch>
                  </pic:blipFill>
                  <pic:spPr bwMode="auto">
                    <a:xfrm>
                      <a:off x="0" y="0"/>
                      <a:ext cx="5391150" cy="3313584"/>
                    </a:xfrm>
                    <a:prstGeom prst="rect">
                      <a:avLst/>
                    </a:prstGeom>
                    <a:noFill/>
                    <a:ln>
                      <a:noFill/>
                    </a:ln>
                  </pic:spPr>
                </pic:pic>
              </a:graphicData>
            </a:graphic>
          </wp:inline>
        </w:drawing>
      </w:r>
    </w:p>
    <w:p w:rsidR="00F32076" w:rsidRPr="00E254E6" w:rsidRDefault="00F32076" w:rsidP="00F32076">
      <w:pPr>
        <w:pStyle w:val="Caption"/>
        <w:jc w:val="center"/>
        <w:rPr>
          <w:color w:val="auto"/>
        </w:rPr>
      </w:pPr>
      <w:r w:rsidRPr="00E254E6">
        <w:rPr>
          <w:color w:val="auto"/>
        </w:rPr>
        <w:t xml:space="preserve">Figure </w:t>
      </w:r>
      <w:r w:rsidRPr="00E254E6">
        <w:rPr>
          <w:color w:val="auto"/>
        </w:rPr>
        <w:fldChar w:fldCharType="begin"/>
      </w:r>
      <w:r w:rsidRPr="00E254E6">
        <w:rPr>
          <w:color w:val="auto"/>
        </w:rPr>
        <w:instrText xml:space="preserve"> SEQ Figure \* ARABIC </w:instrText>
      </w:r>
      <w:r w:rsidRPr="00E254E6">
        <w:rPr>
          <w:color w:val="auto"/>
        </w:rPr>
        <w:fldChar w:fldCharType="separate"/>
      </w:r>
      <w:r w:rsidRPr="00E254E6">
        <w:rPr>
          <w:noProof/>
          <w:color w:val="auto"/>
        </w:rPr>
        <w:t>4</w:t>
      </w:r>
      <w:r w:rsidRPr="00E254E6">
        <w:rPr>
          <w:color w:val="auto"/>
        </w:rPr>
        <w:fldChar w:fldCharType="end"/>
      </w:r>
      <w:r w:rsidRPr="00E254E6">
        <w:rPr>
          <w:color w:val="auto"/>
        </w:rPr>
        <w:t xml:space="preserve"> Learning Analytics Output</w:t>
      </w:r>
      <w:r w:rsidR="00E254E6">
        <w:rPr>
          <w:color w:val="auto"/>
        </w:rPr>
        <w:t>s</w:t>
      </w:r>
      <w:r w:rsidRPr="00E254E6">
        <w:rPr>
          <w:color w:val="auto"/>
        </w:rPr>
        <w:t xml:space="preserve"> as a MentorPal Input</w:t>
      </w:r>
      <w:r w:rsidR="00E254E6">
        <w:rPr>
          <w:color w:val="auto"/>
        </w:rPr>
        <w:t>s</w:t>
      </w:r>
    </w:p>
    <w:p w:rsidR="00F32076" w:rsidRDefault="00F32076" w:rsidP="00F32076"/>
    <w:p w:rsidR="00F32076" w:rsidRDefault="00F32076" w:rsidP="00772BFA"/>
    <w:p w:rsidR="00772BFA" w:rsidRPr="00F65A70" w:rsidRDefault="00F65A70" w:rsidP="00772BFA">
      <w:pPr>
        <w:pStyle w:val="Heading1"/>
        <w:keepLines/>
        <w:jc w:val="left"/>
        <w:rPr>
          <w:caps/>
        </w:rPr>
      </w:pPr>
      <w:r w:rsidRPr="00F65A70">
        <w:rPr>
          <w:caps/>
        </w:rPr>
        <w:t>Metrics</w:t>
      </w:r>
    </w:p>
    <w:p w:rsidR="00772BFA" w:rsidRDefault="00772BFA" w:rsidP="00116784"/>
    <w:p w:rsidR="00A34886" w:rsidRDefault="00A34886" w:rsidP="00116784">
      <w:r>
        <w:t>This paper takes the position that i</w:t>
      </w:r>
      <w:r w:rsidR="005E19EC">
        <w:t xml:space="preserve">n any </w:t>
      </w:r>
      <w:r>
        <w:t>analysis</w:t>
      </w:r>
      <w:r w:rsidR="005E19EC">
        <w:t xml:space="preserve"> of education</w:t>
      </w:r>
      <w:r>
        <w:t>,</w:t>
      </w:r>
      <w:r w:rsidR="005E19EC">
        <w:t xml:space="preserve"> metrics are a </w:t>
      </w:r>
      <w:r w:rsidR="005E19EC" w:rsidRPr="00A34886">
        <w:rPr>
          <w:i/>
        </w:rPr>
        <w:t>sine qua non</w:t>
      </w:r>
      <w:r w:rsidR="005E19EC">
        <w:t>.</w:t>
      </w:r>
      <w:r>
        <w:t xml:space="preserve">  In the consideration of the use of Learning Analytics to enhance and foster education by using emerging technologies, this topic appears at several levels. One is the use of appropriate metrics to analyze that use of Learning Analytics.  There must be a serious and objective look at just what the goal for such use is.  Even the goal-setting is not trivial.  The authors are well aware that there are many convoluting factors in educating any group, and their hope is that once goals are set, </w:t>
      </w:r>
      <w:r>
        <w:lastRenderedPageBreak/>
        <w:t xml:space="preserve">Learning Analytics will deliver both the sensors/recorders to capture various changes in attitudes, knowledge base, skills and productivity of the </w:t>
      </w:r>
      <w:proofErr w:type="spellStart"/>
      <w:r>
        <w:t>users.The</w:t>
      </w:r>
      <w:proofErr w:type="spellEnd"/>
      <w:r>
        <w:t xml:space="preserve"> implementation of this new set of evaluative skills may further drive the educators to reconsider the goals of education at a number of levels.</w:t>
      </w:r>
      <w:r w:rsidR="00592DA9">
        <w:t xml:space="preserve"> Given the goals, a new ability to quantify and collect data on those goals should follow a pace, </w:t>
      </w:r>
    </w:p>
    <w:p w:rsidR="00592DA9" w:rsidRDefault="00592DA9" w:rsidP="00116784"/>
    <w:p w:rsidR="00592DA9" w:rsidRDefault="00592DA9" w:rsidP="00116784">
      <w:r>
        <w:t>Beyond the impact of Learning Analytics, the new technologies should also allow a better view of the education process itself.  One issue in education has been that of establishing the proper quantification of which activities are really having and educational impact on the learner.  The above listed processes do present a new and better way of objectively isolating and improving on those activities that have the most beneficial impact on the user.  This may also bring on a vital reconsideration of an even higher set of aspirations for society in general.</w:t>
      </w:r>
    </w:p>
    <w:p w:rsidR="00772BFA" w:rsidRDefault="00772BFA" w:rsidP="00116784"/>
    <w:p w:rsidR="00772BFA" w:rsidRDefault="00772BFA" w:rsidP="00116784"/>
    <w:p w:rsidR="00772BFA" w:rsidRPr="00F65A70" w:rsidRDefault="00F65A70" w:rsidP="00772BFA">
      <w:pPr>
        <w:pStyle w:val="Heading1"/>
        <w:jc w:val="left"/>
        <w:rPr>
          <w:caps/>
        </w:rPr>
      </w:pPr>
      <w:r w:rsidRPr="00F65A70">
        <w:rPr>
          <w:caps/>
        </w:rPr>
        <w:t xml:space="preserve">Discussion </w:t>
      </w:r>
    </w:p>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772BFA">
      <w:pPr>
        <w:pStyle w:val="Heading1"/>
        <w:jc w:val="left"/>
      </w:pPr>
      <w:r>
        <w:t>CONCLUSIONS</w:t>
      </w:r>
    </w:p>
    <w:p w:rsidR="00772BFA" w:rsidRDefault="00772BFA" w:rsidP="00772BFA"/>
    <w:p w:rsidR="00772BFA" w:rsidRDefault="00772BFA" w:rsidP="00116784">
      <w:pPr>
        <w:pStyle w:val="NoSpacing"/>
      </w:pPr>
      <w:r>
        <w:t xml:space="preserve">As this paper focuses more on </w:t>
      </w:r>
      <w:r w:rsidR="00F65A70">
        <w:t>potentials</w:t>
      </w:r>
      <w:r>
        <w:t xml:space="preserve"> from a </w:t>
      </w:r>
      <w:r w:rsidR="00F65A70">
        <w:t xml:space="preserve">series of emerging technologies and </w:t>
      </w:r>
      <w:proofErr w:type="spellStart"/>
      <w:r w:rsidR="00F65A70">
        <w:t>appraoches</w:t>
      </w:r>
      <w:proofErr w:type="spellEnd"/>
      <w:r>
        <w:t xml:space="preserve"> than a formal investigation of a </w:t>
      </w:r>
      <w:r w:rsidR="00F65A70">
        <w:t>concurrently</w:t>
      </w:r>
      <w:r>
        <w:t xml:space="preserve"> advance</w:t>
      </w:r>
      <w:r w:rsidR="00F65A70">
        <w:t>d</w:t>
      </w:r>
      <w:r>
        <w:t xml:space="preserve"> thesis, the conclusions match this theme.</w:t>
      </w:r>
    </w:p>
    <w:p w:rsidR="00772BFA" w:rsidRDefault="00772BFA" w:rsidP="00116784">
      <w:pPr>
        <w:pStyle w:val="NoSpacing"/>
      </w:pPr>
    </w:p>
    <w:p w:rsidR="00772BFA" w:rsidRDefault="00772BFA" w:rsidP="00116784"/>
    <w:p w:rsidR="00772BFA" w:rsidRDefault="00772BFA" w:rsidP="00116784"/>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lastRenderedPageBreak/>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AD5213" w:rsidP="00AD5213">
      <w:pPr>
        <w:pStyle w:val="ModSimRefs"/>
      </w:pPr>
      <w:proofErr w:type="gramStart"/>
      <w:r w:rsidRPr="006C1027">
        <w:t>Tu</w:t>
      </w:r>
      <w:r>
        <w:t>.</w:t>
      </w:r>
      <w:proofErr w:type="gramEnd"/>
    </w:p>
    <w:sectPr w:rsidR="00772BFA" w:rsidSect="00772BFA">
      <w:headerReference w:type="default" r:id="rId13"/>
      <w:footerReference w:type="default" r:id="rId14"/>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163" w:rsidRDefault="00605163" w:rsidP="004B4C30">
      <w:r>
        <w:separator/>
      </w:r>
    </w:p>
  </w:endnote>
  <w:endnote w:type="continuationSeparator" w:id="0">
    <w:p w:rsidR="00605163" w:rsidRDefault="00605163"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8252A1">
      <w:rPr>
        <w:i/>
        <w:noProof/>
        <w:sz w:val="18"/>
        <w:szCs w:val="18"/>
      </w:rPr>
      <w:t>3</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8252A1">
      <w:rPr>
        <w:i/>
        <w:noProof/>
        <w:sz w:val="18"/>
        <w:szCs w:val="18"/>
      </w:rPr>
      <w:t>8</w:t>
    </w:r>
    <w:r w:rsidR="001A23E2">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592DA9">
      <w:rPr>
        <w:i/>
        <w:noProof/>
        <w:sz w:val="18"/>
        <w:szCs w:val="18"/>
      </w:rPr>
      <w:t>12</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592DA9">
      <w:rPr>
        <w:i/>
        <w:noProof/>
        <w:sz w:val="18"/>
        <w:szCs w:val="18"/>
      </w:rPr>
      <w:t>13</w:t>
    </w:r>
    <w:r w:rsidR="001A23E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163" w:rsidRDefault="00605163" w:rsidP="004B4C30">
      <w:r>
        <w:separator/>
      </w:r>
    </w:p>
  </w:footnote>
  <w:footnote w:type="continuationSeparator" w:id="0">
    <w:p w:rsidR="00605163" w:rsidRDefault="0060516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46629"/>
    <w:multiLevelType w:val="hybridMultilevel"/>
    <w:tmpl w:val="0390075E"/>
    <w:lvl w:ilvl="0" w:tplc="7F2A097C">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70EF"/>
    <w:rsid w:val="00082D67"/>
    <w:rsid w:val="00096F7A"/>
    <w:rsid w:val="000A774C"/>
    <w:rsid w:val="00105394"/>
    <w:rsid w:val="00116784"/>
    <w:rsid w:val="00145BF0"/>
    <w:rsid w:val="00166A97"/>
    <w:rsid w:val="0016789C"/>
    <w:rsid w:val="00174A36"/>
    <w:rsid w:val="001A23E2"/>
    <w:rsid w:val="001B0113"/>
    <w:rsid w:val="001E43FD"/>
    <w:rsid w:val="00214213"/>
    <w:rsid w:val="0026097B"/>
    <w:rsid w:val="00283B89"/>
    <w:rsid w:val="002A2FB2"/>
    <w:rsid w:val="002C07E8"/>
    <w:rsid w:val="002C7D43"/>
    <w:rsid w:val="00306E44"/>
    <w:rsid w:val="00330460"/>
    <w:rsid w:val="00345374"/>
    <w:rsid w:val="00360D89"/>
    <w:rsid w:val="00362C5F"/>
    <w:rsid w:val="003A34B1"/>
    <w:rsid w:val="003C4623"/>
    <w:rsid w:val="003C69C0"/>
    <w:rsid w:val="003D240A"/>
    <w:rsid w:val="003E679D"/>
    <w:rsid w:val="0043609C"/>
    <w:rsid w:val="0044711E"/>
    <w:rsid w:val="0045137B"/>
    <w:rsid w:val="004834DF"/>
    <w:rsid w:val="004866EF"/>
    <w:rsid w:val="004B4C30"/>
    <w:rsid w:val="004F4764"/>
    <w:rsid w:val="004F7852"/>
    <w:rsid w:val="005248A3"/>
    <w:rsid w:val="00592DA9"/>
    <w:rsid w:val="005A4149"/>
    <w:rsid w:val="005E19EC"/>
    <w:rsid w:val="005F112E"/>
    <w:rsid w:val="00605163"/>
    <w:rsid w:val="00614716"/>
    <w:rsid w:val="00624197"/>
    <w:rsid w:val="00635719"/>
    <w:rsid w:val="006529E4"/>
    <w:rsid w:val="00654822"/>
    <w:rsid w:val="00663F93"/>
    <w:rsid w:val="00690412"/>
    <w:rsid w:val="006D26B3"/>
    <w:rsid w:val="006D6626"/>
    <w:rsid w:val="006E5FD3"/>
    <w:rsid w:val="007003FF"/>
    <w:rsid w:val="00725616"/>
    <w:rsid w:val="00742F0D"/>
    <w:rsid w:val="00745752"/>
    <w:rsid w:val="00747385"/>
    <w:rsid w:val="00756072"/>
    <w:rsid w:val="00772BFA"/>
    <w:rsid w:val="007D1E38"/>
    <w:rsid w:val="007F4F44"/>
    <w:rsid w:val="00814987"/>
    <w:rsid w:val="008252A1"/>
    <w:rsid w:val="008545CC"/>
    <w:rsid w:val="0088417A"/>
    <w:rsid w:val="008A3E8B"/>
    <w:rsid w:val="008B7B9B"/>
    <w:rsid w:val="00910A36"/>
    <w:rsid w:val="00917EE5"/>
    <w:rsid w:val="00945D98"/>
    <w:rsid w:val="00947306"/>
    <w:rsid w:val="009578FF"/>
    <w:rsid w:val="0096483D"/>
    <w:rsid w:val="009955FC"/>
    <w:rsid w:val="00A14430"/>
    <w:rsid w:val="00A16E53"/>
    <w:rsid w:val="00A20685"/>
    <w:rsid w:val="00A34886"/>
    <w:rsid w:val="00A5320A"/>
    <w:rsid w:val="00A65D7C"/>
    <w:rsid w:val="00A87985"/>
    <w:rsid w:val="00AC1255"/>
    <w:rsid w:val="00AC71A7"/>
    <w:rsid w:val="00AD5213"/>
    <w:rsid w:val="00AF1E31"/>
    <w:rsid w:val="00AF5040"/>
    <w:rsid w:val="00B06735"/>
    <w:rsid w:val="00B27079"/>
    <w:rsid w:val="00B37400"/>
    <w:rsid w:val="00B37BC3"/>
    <w:rsid w:val="00B53E9A"/>
    <w:rsid w:val="00B67FA4"/>
    <w:rsid w:val="00BD6D63"/>
    <w:rsid w:val="00BE1062"/>
    <w:rsid w:val="00BE473A"/>
    <w:rsid w:val="00C426E0"/>
    <w:rsid w:val="00C641F8"/>
    <w:rsid w:val="00C836AB"/>
    <w:rsid w:val="00C84D77"/>
    <w:rsid w:val="00CD613E"/>
    <w:rsid w:val="00CE1BDB"/>
    <w:rsid w:val="00CE499B"/>
    <w:rsid w:val="00CF3DAA"/>
    <w:rsid w:val="00D3794E"/>
    <w:rsid w:val="00DE66F7"/>
    <w:rsid w:val="00E254E6"/>
    <w:rsid w:val="00E44994"/>
    <w:rsid w:val="00E50C82"/>
    <w:rsid w:val="00EA59A1"/>
    <w:rsid w:val="00EB6D99"/>
    <w:rsid w:val="00ED74B8"/>
    <w:rsid w:val="00EF409D"/>
    <w:rsid w:val="00F17A4C"/>
    <w:rsid w:val="00F32076"/>
    <w:rsid w:val="00F65A70"/>
    <w:rsid w:val="00F84124"/>
    <w:rsid w:val="00F93BCD"/>
    <w:rsid w:val="00FC11E1"/>
    <w:rsid w:val="00FC2A6B"/>
    <w:rsid w:val="00FC559C"/>
    <w:rsid w:val="00FC5733"/>
    <w:rsid w:val="00FE2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466AA15-5F20-4AD3-B935-62EAE85B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5753</Words>
  <Characters>32796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2022-01-24T20:41:00Z</dcterms:created>
  <dcterms:modified xsi:type="dcterms:W3CDTF">2022-01-24T20:41:00Z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