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Implementing DoD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6C46E4">
            <w:pPr>
              <w:ind w:right="-108"/>
              <w:jc w:val="center"/>
              <w:rPr>
                <w:b/>
                <w:bCs/>
                <w:iCs/>
              </w:rPr>
            </w:pPr>
            <w:r>
              <w:rPr>
                <w:b/>
                <w:bCs/>
                <w:iCs/>
              </w:rPr>
              <w:t xml:space="preserve">{ </w:t>
            </w:r>
            <w:r w:rsidR="006C46E4">
              <w:rPr>
                <w:b/>
                <w:bCs/>
                <w:iCs/>
              </w:rPr>
              <w:t xml:space="preserve">ddavis </w:t>
            </w:r>
            <w:r>
              <w:rPr>
                <w:b/>
                <w:bCs/>
                <w:iCs/>
              </w:rPr>
              <w:t>&amp;</w:t>
            </w:r>
            <w:r w:rsidR="006C46E4">
              <w:rPr>
                <w:b/>
                <w:bCs/>
                <w:iCs/>
              </w:rPr>
              <w:t xml:space="preserve"> jnolan </w:t>
            </w:r>
            <w:r>
              <w:rPr>
                <w:b/>
                <w:bCs/>
                <w:iCs/>
              </w:rPr>
              <w:t>}@catholicpolytechnic.org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DoD has similar needs and has funded development of globally accessible and extremely engaging virtual mentors. </w:t>
      </w:r>
      <w:r w:rsidR="00C1087C">
        <w:rPr>
          <w:iCs/>
        </w:rPr>
        <w:t>There is a short review of cu</w:t>
      </w:r>
      <w:r w:rsidR="00C1087C">
        <w:rPr>
          <w:iCs/>
        </w:rPr>
        <w:t>r</w:t>
      </w:r>
      <w:r w:rsidR="00C1087C">
        <w:rPr>
          <w:iCs/>
        </w:rPr>
        <w:t xml:space="preserve">rent efforts to respond </w:t>
      </w:r>
      <w:r w:rsidR="0057424A">
        <w:rPr>
          <w:iCs/>
        </w:rPr>
        <w:t xml:space="preserve">to these issues, including </w:t>
      </w:r>
      <w:r w:rsidR="00C1087C">
        <w:rPr>
          <w:iCs/>
        </w:rPr>
        <w:t xml:space="preserve">results. The paper then sets </w:t>
      </w:r>
      <w:r w:rsidR="00E26F4C">
        <w:rPr>
          <w:iCs/>
        </w:rPr>
        <w:t>the goals of reducing negative impacts in order to sustain a robust career field in law enforcement.</w:t>
      </w:r>
      <w:r w:rsidR="00486258">
        <w:rPr>
          <w:iCs/>
        </w:rPr>
        <w:t xml:space="preserve"> </w:t>
      </w:r>
      <w:r w:rsidR="00067764">
        <w:rPr>
          <w:iCs/>
        </w:rPr>
        <w:t xml:space="preserve">This paper reports on an initiative to identify, scope, plan and implement the use of DoD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w:t>
      </w:r>
      <w:r w:rsidR="00486258">
        <w:rPr>
          <w:iCs/>
        </w:rPr>
        <w:t xml:space="preserve"> </w:t>
      </w:r>
      <w:r w:rsidR="00C1087C">
        <w:rPr>
          <w:iCs/>
        </w:rPr>
        <w:t xml:space="preserve">Then it reviews the reported </w:t>
      </w:r>
      <w:r w:rsidR="00E26F4C">
        <w:rPr>
          <w:iCs/>
        </w:rPr>
        <w:t>m</w:t>
      </w:r>
      <w:r w:rsidR="00E26F4C">
        <w:rPr>
          <w:iCs/>
        </w:rPr>
        <w:t>a</w:t>
      </w:r>
      <w:r w:rsidR="00E26F4C">
        <w:rPr>
          <w:iCs/>
        </w:rPr>
        <w:t xml:space="preserve">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r w:rsidR="00486258">
        <w:rPr>
          <w:iCs/>
        </w:rPr>
        <w:t xml:space="preserve"> </w:t>
      </w:r>
      <w:r w:rsidR="008D2CDC">
        <w:rPr>
          <w:iCs/>
        </w:rPr>
        <w:t>low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might be effective in this sit</w:t>
      </w:r>
      <w:r w:rsidR="00E26F4C">
        <w:rPr>
          <w:iCs/>
        </w:rPr>
        <w:t>u</w:t>
      </w:r>
      <w:r w:rsidR="00E26F4C">
        <w:rPr>
          <w:iCs/>
        </w:rPr>
        <w:t xml:space="preserve">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Where longitudinal studies are going to be required, the paper sets forth issues to be considered and parameters to be i</w:t>
      </w:r>
      <w:r>
        <w:rPr>
          <w:iCs/>
        </w:rPr>
        <w:t>n</w:t>
      </w:r>
      <w:r>
        <w:rPr>
          <w:iCs/>
        </w:rPr>
        <w:t xml:space="preserve">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a consu</w:t>
      </w:r>
      <w:r>
        <w:rPr>
          <w:bCs/>
        </w:rPr>
        <w:t>l</w:t>
      </w:r>
      <w:r>
        <w:rPr>
          <w:bCs/>
        </w:rPr>
        <w:t>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w:t>
      </w:r>
      <w:r>
        <w:rPr>
          <w:bCs/>
        </w:rPr>
        <w:t>e</w:t>
      </w:r>
      <w:r>
        <w:rPr>
          <w:bCs/>
        </w:rPr>
        <w:t>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w:t>
      </w:r>
      <w:r w:rsidRPr="00DA6AF4">
        <w:rPr>
          <w:bCs/>
        </w:rPr>
        <w:t>n</w:t>
      </w:r>
      <w:r w:rsidRPr="00DA6AF4">
        <w:rPr>
          <w:bCs/>
        </w:rPr>
        <w:t xml:space="preserve">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w:t>
      </w:r>
      <w:r w:rsidR="00486258">
        <w:rPr>
          <w:bCs/>
        </w:rPr>
        <w:t xml:space="preserve"> </w:t>
      </w:r>
      <w:r w:rsidRPr="00DA6AF4">
        <w:rPr>
          <w:bCs/>
        </w:rPr>
        <w:t>She earned a B. A. Degree in Speech Communications from the California State University Long Beach</w:t>
      </w:r>
      <w:r w:rsidR="00486258">
        <w:rPr>
          <w:bCs/>
        </w:rPr>
        <w:t>, California</w:t>
      </w:r>
      <w:r w:rsidRPr="00DA6AF4">
        <w:rPr>
          <w:bCs/>
        </w:rPr>
        <w:t xml:space="preserve"> and an M. A. Degree in Teaching and Teacher Leadership from the Grand Ca</w:t>
      </w:r>
      <w:r w:rsidRPr="00DA6AF4">
        <w:rPr>
          <w:bCs/>
        </w:rPr>
        <w:t>n</w:t>
      </w:r>
      <w:r w:rsidRPr="00DA6AF4">
        <w:rPr>
          <w:bCs/>
        </w:rPr>
        <w:t>yon University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licensed private investigator with twenty-six years of local law enforcement experience and over fifteen years exp</w:t>
      </w:r>
      <w:r w:rsidRPr="00351731">
        <w:rPr>
          <w:bCs/>
        </w:rPr>
        <w:t>e</w:t>
      </w:r>
      <w:r w:rsidRPr="00351731">
        <w:rPr>
          <w:bCs/>
        </w:rPr>
        <w:t xml:space="preserv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w:t>
      </w:r>
      <w:r w:rsidRPr="00351731">
        <w:rPr>
          <w:bCs/>
        </w:rPr>
        <w:t>e</w:t>
      </w:r>
      <w:r w:rsidRPr="00351731">
        <w:rPr>
          <w:bCs/>
        </w:rPr>
        <w:t xml:space="preserve">time member of the California Organization of Police and Sheriffs. John has a Bachelors Degree in Criminal Justice </w:t>
      </w:r>
      <w:r w:rsidR="00B84C83">
        <w:rPr>
          <w:bCs/>
        </w:rPr>
        <w:t>from Westfield State University in Westfield</w:t>
      </w:r>
      <w:r w:rsidR="00486258">
        <w:rPr>
          <w:bCs/>
        </w:rPr>
        <w:t>,</w:t>
      </w:r>
      <w:r w:rsidR="00B84C83">
        <w:rPr>
          <w:bCs/>
        </w:rPr>
        <w:t xml:space="preserve"> Massachusetts </w:t>
      </w:r>
      <w:r w:rsidRPr="00351731">
        <w:rPr>
          <w:bCs/>
        </w:rPr>
        <w:t>and</w:t>
      </w:r>
      <w:r w:rsidR="00B84C83">
        <w:rPr>
          <w:bCs/>
        </w:rPr>
        <w:t xml:space="preserve"> a Master's Degree in </w:t>
      </w:r>
      <w:r w:rsidRPr="00351731">
        <w:rPr>
          <w:bCs/>
        </w:rPr>
        <w:t>Business Management</w:t>
      </w:r>
      <w:r>
        <w:rPr>
          <w:bCs/>
        </w:rPr>
        <w:t xml:space="preserve"> </w:t>
      </w:r>
      <w:r w:rsidR="00B84C83">
        <w:rPr>
          <w:bCs/>
        </w:rPr>
        <w:t>at</w:t>
      </w:r>
      <w:r>
        <w:rPr>
          <w:bCs/>
        </w:rPr>
        <w:t xml:space="preserve"> </w:t>
      </w:r>
      <w:r w:rsidR="00B84C83">
        <w:rPr>
          <w:bCs/>
        </w:rPr>
        <w:t>the University of California San Diego.</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Irvine, Loyola Mar</w:t>
      </w:r>
      <w:r w:rsidRPr="008545CC">
        <w:t>y</w:t>
      </w:r>
      <w:r w:rsidRPr="008545CC">
        <w:t xml:space="preserve">mount University, and Glendale Community College. She has conducted local and nationwide clinical trials, and published in both scientific journals and popular magazines. </w:t>
      </w:r>
      <w:r>
        <w:t>She received a BA in Psychology from Loyola Mar</w:t>
      </w:r>
      <w:r>
        <w:t>y</w:t>
      </w:r>
      <w:r>
        <w:t>mount and</w:t>
      </w:r>
      <w:r w:rsidRPr="008545CC">
        <w:t xml:space="preserve"> a Ph.D. in Psychology from the Dept. of Cognitive Science at the Univer</w:t>
      </w:r>
      <w:r>
        <w:t>sity of California, Irvine.</w:t>
      </w:r>
    </w:p>
    <w:p w:rsidR="00757F1F" w:rsidRDefault="00757F1F">
      <w:r>
        <w:br w:type="page"/>
      </w:r>
    </w:p>
    <w:p w:rsidR="009C2C74" w:rsidRDefault="009C2C74" w:rsidP="009C2C74">
      <w:pPr>
        <w:spacing w:before="120"/>
        <w:jc w:val="both"/>
      </w:pPr>
    </w:p>
    <w:p w:rsidR="00757F1F" w:rsidRDefault="00757F1F" w:rsidP="009C2C74">
      <w:pPr>
        <w:spacing w:before="120"/>
        <w:jc w:val="both"/>
      </w:pPr>
    </w:p>
    <w:p w:rsidR="00757F1F" w:rsidRDefault="00757F1F" w:rsidP="00757F1F">
      <w:pPr>
        <w:jc w:val="center"/>
        <w:rPr>
          <w:b/>
          <w:sz w:val="28"/>
        </w:rPr>
      </w:pPr>
      <w:r>
        <w:rPr>
          <w:b/>
          <w:sz w:val="28"/>
        </w:rPr>
        <w:t xml:space="preserve">Dual-use Extensibility Issues: </w:t>
      </w:r>
      <w:r>
        <w:rPr>
          <w:b/>
          <w:sz w:val="28"/>
        </w:rPr>
        <w:br/>
        <w:t>Implementing DoD Virtual Mentors for Police</w:t>
      </w:r>
    </w:p>
    <w:p w:rsidR="00757F1F" w:rsidRPr="000C1512" w:rsidRDefault="00757F1F" w:rsidP="00757F1F">
      <w:pPr>
        <w:jc w:val="center"/>
        <w:rPr>
          <w:b/>
          <w:bCs/>
          <w:sz w:val="28"/>
        </w:rPr>
      </w:pPr>
    </w:p>
    <w:tbl>
      <w:tblPr>
        <w:tblW w:w="9360" w:type="dxa"/>
        <w:tblInd w:w="108" w:type="dxa"/>
        <w:tblLayout w:type="fixed"/>
        <w:tblLook w:val="0000"/>
      </w:tblPr>
      <w:tblGrid>
        <w:gridCol w:w="4050"/>
        <w:gridCol w:w="2970"/>
        <w:gridCol w:w="2340"/>
      </w:tblGrid>
      <w:tr w:rsidR="00757F1F" w:rsidRPr="000C1512" w:rsidTr="00022308">
        <w:trPr>
          <w:trHeight w:hRule="exact" w:val="273"/>
        </w:trPr>
        <w:tc>
          <w:tcPr>
            <w:tcW w:w="4050" w:type="dxa"/>
          </w:tcPr>
          <w:p w:rsidR="00757F1F" w:rsidRDefault="00757F1F" w:rsidP="00022308">
            <w:pPr>
              <w:ind w:right="-108"/>
              <w:jc w:val="center"/>
              <w:rPr>
                <w:b/>
                <w:bCs/>
                <w:iCs/>
              </w:rPr>
            </w:pPr>
            <w:r>
              <w:rPr>
                <w:b/>
                <w:bCs/>
                <w:iCs/>
              </w:rPr>
              <w:t>Dan M. Davis &amp; Jennifer H. Nolan</w:t>
            </w:r>
          </w:p>
          <w:p w:rsidR="00757F1F" w:rsidRPr="000C1512" w:rsidRDefault="00757F1F" w:rsidP="00022308">
            <w:pPr>
              <w:ind w:right="-108"/>
              <w:jc w:val="center"/>
              <w:rPr>
                <w:b/>
                <w:bCs/>
                <w:iCs/>
              </w:rPr>
            </w:pPr>
          </w:p>
        </w:tc>
        <w:tc>
          <w:tcPr>
            <w:tcW w:w="2970" w:type="dxa"/>
          </w:tcPr>
          <w:p w:rsidR="00757F1F" w:rsidRPr="00FD729F" w:rsidRDefault="00757F1F" w:rsidP="00022308">
            <w:pPr>
              <w:jc w:val="center"/>
              <w:rPr>
                <w:b/>
                <w:bCs/>
                <w:iCs/>
              </w:rPr>
            </w:pPr>
            <w:r>
              <w:rPr>
                <w:b/>
                <w:bCs/>
                <w:iCs/>
              </w:rPr>
              <w:t>Judith L. Jacobus</w:t>
            </w:r>
          </w:p>
        </w:tc>
        <w:tc>
          <w:tcPr>
            <w:tcW w:w="2340" w:type="dxa"/>
          </w:tcPr>
          <w:p w:rsidR="00757F1F" w:rsidRDefault="00757F1F" w:rsidP="00022308">
            <w:pPr>
              <w:jc w:val="center"/>
              <w:rPr>
                <w:b/>
                <w:bCs/>
                <w:iCs/>
              </w:rPr>
            </w:pPr>
            <w:r>
              <w:rPr>
                <w:b/>
                <w:bCs/>
                <w:iCs/>
              </w:rPr>
              <w:t>John A. Parker</w:t>
            </w:r>
          </w:p>
        </w:tc>
      </w:tr>
      <w:tr w:rsidR="00757F1F" w:rsidTr="00022308">
        <w:trPr>
          <w:trHeight w:hRule="exact" w:val="273"/>
        </w:trPr>
        <w:tc>
          <w:tcPr>
            <w:tcW w:w="4050" w:type="dxa"/>
          </w:tcPr>
          <w:p w:rsidR="00757F1F" w:rsidRDefault="00757F1F" w:rsidP="00022308">
            <w:pPr>
              <w:ind w:right="-108" w:hanging="90"/>
              <w:jc w:val="center"/>
            </w:pPr>
            <w:r>
              <w:rPr>
                <w:b/>
                <w:bCs/>
                <w:iCs/>
              </w:rPr>
              <w:t>Catholic Polytechnic University</w:t>
            </w:r>
          </w:p>
        </w:tc>
        <w:tc>
          <w:tcPr>
            <w:tcW w:w="2970" w:type="dxa"/>
          </w:tcPr>
          <w:p w:rsidR="00757F1F" w:rsidRPr="00FD729F" w:rsidRDefault="00757F1F" w:rsidP="00022308">
            <w:pPr>
              <w:ind w:hanging="17"/>
              <w:jc w:val="center"/>
              <w:rPr>
                <w:b/>
                <w:bCs/>
                <w:iCs/>
              </w:rPr>
            </w:pPr>
            <w:r>
              <w:rPr>
                <w:b/>
                <w:bCs/>
                <w:iCs/>
              </w:rPr>
              <w:t>Speech &amp; Language Therapist</w:t>
            </w:r>
          </w:p>
        </w:tc>
        <w:tc>
          <w:tcPr>
            <w:tcW w:w="2340" w:type="dxa"/>
          </w:tcPr>
          <w:p w:rsidR="00757F1F" w:rsidRDefault="00757F1F" w:rsidP="00022308">
            <w:pPr>
              <w:ind w:hanging="17"/>
              <w:jc w:val="center"/>
              <w:rPr>
                <w:b/>
                <w:bCs/>
                <w:iCs/>
              </w:rPr>
            </w:pPr>
            <w:r>
              <w:rPr>
                <w:b/>
                <w:bCs/>
                <w:iCs/>
              </w:rPr>
              <w:t>Platt Investigations</w:t>
            </w:r>
          </w:p>
        </w:tc>
      </w:tr>
      <w:tr w:rsidR="00757F1F" w:rsidTr="00022308">
        <w:trPr>
          <w:trHeight w:hRule="exact" w:val="273"/>
        </w:trPr>
        <w:tc>
          <w:tcPr>
            <w:tcW w:w="4050" w:type="dxa"/>
          </w:tcPr>
          <w:p w:rsidR="00757F1F" w:rsidRDefault="00757F1F" w:rsidP="00022308">
            <w:pPr>
              <w:ind w:right="-108" w:hanging="90"/>
              <w:jc w:val="center"/>
              <w:rPr>
                <w:b/>
                <w:bCs/>
                <w:iCs/>
              </w:rPr>
            </w:pPr>
            <w:r>
              <w:rPr>
                <w:b/>
                <w:bCs/>
                <w:iCs/>
              </w:rPr>
              <w:t>Los Angeles, California</w:t>
            </w:r>
          </w:p>
        </w:tc>
        <w:tc>
          <w:tcPr>
            <w:tcW w:w="2970" w:type="dxa"/>
          </w:tcPr>
          <w:p w:rsidR="00757F1F" w:rsidRPr="00FD729F" w:rsidRDefault="00757F1F" w:rsidP="00022308">
            <w:pPr>
              <w:jc w:val="center"/>
              <w:rPr>
                <w:b/>
                <w:bCs/>
                <w:iCs/>
              </w:rPr>
            </w:pPr>
            <w:r>
              <w:rPr>
                <w:b/>
                <w:bCs/>
                <w:iCs/>
              </w:rPr>
              <w:t>Seal Beach, California</w:t>
            </w:r>
          </w:p>
        </w:tc>
        <w:tc>
          <w:tcPr>
            <w:tcW w:w="2340" w:type="dxa"/>
          </w:tcPr>
          <w:p w:rsidR="00757F1F" w:rsidRDefault="00757F1F" w:rsidP="00022308">
            <w:pPr>
              <w:jc w:val="center"/>
              <w:rPr>
                <w:b/>
                <w:bCs/>
                <w:iCs/>
              </w:rPr>
            </w:pPr>
            <w:r>
              <w:rPr>
                <w:b/>
                <w:bCs/>
                <w:iCs/>
              </w:rPr>
              <w:t>Signal Hill, California</w:t>
            </w:r>
          </w:p>
        </w:tc>
      </w:tr>
      <w:tr w:rsidR="00757F1F" w:rsidRPr="002433C3" w:rsidTr="00022308">
        <w:trPr>
          <w:trHeight w:hRule="exact" w:val="594"/>
        </w:trPr>
        <w:tc>
          <w:tcPr>
            <w:tcW w:w="4050" w:type="dxa"/>
          </w:tcPr>
          <w:p w:rsidR="00757F1F" w:rsidRDefault="00757F1F" w:rsidP="00022308">
            <w:pPr>
              <w:ind w:right="-108"/>
              <w:jc w:val="center"/>
              <w:rPr>
                <w:b/>
                <w:bCs/>
                <w:iCs/>
              </w:rPr>
            </w:pPr>
            <w:r>
              <w:rPr>
                <w:b/>
                <w:bCs/>
                <w:iCs/>
              </w:rPr>
              <w:t>{jnolan &amp; ddavis}@catholicpolytechnic.org</w:t>
            </w:r>
          </w:p>
        </w:tc>
        <w:tc>
          <w:tcPr>
            <w:tcW w:w="2970" w:type="dxa"/>
          </w:tcPr>
          <w:p w:rsidR="00757F1F" w:rsidRPr="002433C3" w:rsidRDefault="00757F1F" w:rsidP="00022308">
            <w:pPr>
              <w:jc w:val="center"/>
              <w:rPr>
                <w:b/>
                <w:bCs/>
                <w:iCs/>
              </w:rPr>
            </w:pPr>
            <w:r>
              <w:rPr>
                <w:b/>
                <w:bCs/>
                <w:iCs/>
              </w:rPr>
              <w:t>jjacobus@hpc-educ.org</w:t>
            </w:r>
          </w:p>
        </w:tc>
        <w:tc>
          <w:tcPr>
            <w:tcW w:w="2340" w:type="dxa"/>
          </w:tcPr>
          <w:p w:rsidR="00757F1F" w:rsidRDefault="00757F1F" w:rsidP="00022308">
            <w:pPr>
              <w:jc w:val="center"/>
              <w:rPr>
                <w:b/>
                <w:bCs/>
                <w:iCs/>
              </w:rPr>
            </w:pPr>
            <w:r w:rsidRPr="000D1A4A">
              <w:rPr>
                <w:b/>
                <w:bCs/>
                <w:iCs/>
              </w:rPr>
              <w:t>jparker@jpallc.com</w:t>
            </w:r>
          </w:p>
        </w:tc>
      </w:tr>
    </w:tbl>
    <w:p w:rsidR="00757F1F" w:rsidRDefault="00757F1F" w:rsidP="00757F1F">
      <w:pPr>
        <w:jc w:val="center"/>
        <w:rPr>
          <w:sz w:val="24"/>
          <w:szCs w:val="24"/>
        </w:rPr>
      </w:pPr>
    </w:p>
    <w:p w:rsidR="00757F1F" w:rsidRPr="00526F7B" w:rsidRDefault="00757F1F" w:rsidP="00757F1F">
      <w:pPr>
        <w:jc w:val="center"/>
        <w:rPr>
          <w:sz w:val="24"/>
          <w:szCs w:val="24"/>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Introduction</w:t>
      </w:r>
    </w:p>
    <w:p w:rsidR="00757F1F" w:rsidRPr="00526F7B" w:rsidRDefault="00757F1F" w:rsidP="00757F1F">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w:t>
      </w:r>
      <w:r w:rsidRPr="00526F7B">
        <w:t>a</w:t>
      </w:r>
      <w:r w:rsidRPr="00526F7B">
        <w:t>ble proof of any of these theses.  The support presented will be both from the authors’ personal research and insights arising out of their own military service and from the community at large.</w:t>
      </w:r>
    </w:p>
    <w:p w:rsidR="00757F1F" w:rsidRPr="00526F7B" w:rsidRDefault="00757F1F" w:rsidP="00757F1F">
      <w:pPr>
        <w:jc w:val="both"/>
      </w:pPr>
    </w:p>
    <w:p w:rsidR="00757F1F" w:rsidRPr="00526F7B" w:rsidRDefault="00757F1F" w:rsidP="00757F1F">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w:t>
      </w:r>
      <w:r w:rsidRPr="00526F7B">
        <w:t>m</w:t>
      </w:r>
      <w:r w:rsidRPr="00526F7B">
        <w:t>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Terminology</w:t>
      </w:r>
    </w:p>
    <w:p w:rsidR="00757F1F" w:rsidRPr="00526F7B" w:rsidRDefault="00757F1F" w:rsidP="00757F1F">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757F1F" w:rsidRPr="00526F7B" w:rsidRDefault="00757F1F" w:rsidP="00757F1F">
      <w:pPr>
        <w:jc w:val="both"/>
      </w:pPr>
    </w:p>
    <w:p w:rsidR="00757F1F" w:rsidRPr="00526F7B" w:rsidRDefault="00757F1F" w:rsidP="00757F1F">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757F1F" w:rsidRPr="00526F7B" w:rsidRDefault="00757F1F" w:rsidP="00757F1F"/>
    <w:p w:rsidR="00757F1F" w:rsidRPr="00526F7B" w:rsidRDefault="00757F1F" w:rsidP="00757F1F">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Background of Critical thinking in defense</w:t>
      </w:r>
    </w:p>
    <w:p w:rsidR="00757F1F" w:rsidRPr="00526F7B" w:rsidRDefault="00757F1F" w:rsidP="00757F1F">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t>
      </w:r>
      <w:r w:rsidRPr="00526F7B">
        <w:lastRenderedPageBreak/>
        <w:t xml:space="preserve">were effective weapons for millennia, today’s weapons may succumb to obsolescent in a matter of weeks due to counter-measures or societal constraints. </w:t>
      </w:r>
    </w:p>
    <w:p w:rsidR="00757F1F" w:rsidRPr="00526F7B" w:rsidRDefault="00757F1F" w:rsidP="00757F1F">
      <w:pPr>
        <w:jc w:val="both"/>
      </w:pPr>
    </w:p>
    <w:p w:rsidR="00757F1F" w:rsidRPr="00526F7B" w:rsidRDefault="00757F1F" w:rsidP="00757F1F">
      <w:pPr>
        <w:jc w:val="both"/>
      </w:pPr>
      <w:r w:rsidRPr="00526F7B">
        <w:t>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w:t>
      </w:r>
      <w:r w:rsidRPr="00526F7B">
        <w:t>s</w:t>
      </w:r>
      <w:r w:rsidRPr="00526F7B">
        <w:t>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w:t>
      </w:r>
      <w:r w:rsidRPr="00526F7B">
        <w:t>i</w:t>
      </w:r>
      <w:r w:rsidRPr="00526F7B">
        <w:t xml:space="preserve">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w:t>
      </w:r>
      <w:r w:rsidRPr="00526F7B">
        <w:t>r</w:t>
      </w:r>
      <w:r w:rsidRPr="00526F7B">
        <w:t>face ship tactics despite the dominance of carrier task force capabilities until surface ship losses and carrier oper</w:t>
      </w:r>
      <w:r w:rsidRPr="00526F7B">
        <w:t>a</w:t>
      </w:r>
      <w:r w:rsidRPr="00526F7B">
        <w:t>tions successes forced their acceptance of the new weapons systems. (Durham, 1998)</w:t>
      </w:r>
    </w:p>
    <w:p w:rsidR="00757F1F" w:rsidRPr="00526F7B" w:rsidRDefault="00757F1F" w:rsidP="00757F1F">
      <w:pPr>
        <w:jc w:val="both"/>
      </w:pPr>
    </w:p>
    <w:p w:rsidR="00757F1F" w:rsidRPr="00526F7B" w:rsidRDefault="00757F1F" w:rsidP="00757F1F">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757F1F" w:rsidRPr="00526F7B" w:rsidRDefault="00757F1F" w:rsidP="00757F1F">
      <w:pPr>
        <w:jc w:val="both"/>
      </w:pPr>
    </w:p>
    <w:p w:rsidR="00757F1F" w:rsidRPr="00526F7B" w:rsidRDefault="00757F1F" w:rsidP="00757F1F">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w:t>
      </w:r>
      <w:r w:rsidRPr="00526F7B">
        <w:t>f</w:t>
      </w:r>
      <w:r w:rsidRPr="00526F7B">
        <w:t>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757F1F" w:rsidRPr="00526F7B" w:rsidRDefault="00757F1F" w:rsidP="00757F1F">
      <w:pPr>
        <w:jc w:val="both"/>
      </w:pPr>
    </w:p>
    <w:p w:rsidR="00757F1F" w:rsidRDefault="00757F1F" w:rsidP="00757F1F">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757F1F" w:rsidRDefault="00757F1F" w:rsidP="00757F1F"/>
    <w:p w:rsidR="00757F1F" w:rsidRDefault="00757F1F" w:rsidP="00757F1F">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757F1F" w:rsidRDefault="00757F1F" w:rsidP="00757F1F">
      <w:pPr>
        <w:jc w:val="both"/>
      </w:pPr>
    </w:p>
    <w:p w:rsidR="00757F1F" w:rsidRDefault="00757F1F" w:rsidP="00757F1F">
      <w:pPr>
        <w:jc w:val="both"/>
      </w:pPr>
      <w:r>
        <w:t>Context free covers a wide range of possibilities, and it concerns itself with the overall picture.  As service personnel advance in pay grade, responsibility, and knowledge, they will, and should, transform to context free critical thin</w:t>
      </w:r>
      <w:r>
        <w:t>k</w:t>
      </w:r>
      <w:r>
        <w:t>ing which will involve many different non specific subjects. In previous eras, Officers were mostly college educated while the majority of Enlisted Personnel were seldom educated beyond the high school level.</w:t>
      </w:r>
    </w:p>
    <w:p w:rsidR="00757F1F" w:rsidRDefault="00757F1F" w:rsidP="00757F1F">
      <w:pPr>
        <w:jc w:val="both"/>
      </w:pPr>
    </w:p>
    <w:p w:rsidR="00757F1F" w:rsidRDefault="00757F1F" w:rsidP="00757F1F">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w:t>
      </w:r>
      <w:r>
        <w:t>s</w:t>
      </w:r>
      <w:r>
        <w:t>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w:t>
      </w:r>
      <w:r>
        <w:lastRenderedPageBreak/>
        <w:t xml:space="preserve">post-graduate degrees.  In a trend analysis, it was found that the number of bachelor’s degrees amongst the enlisted ranks had nearly doubled in a little more than a decade (DoD, 2015). </w:t>
      </w:r>
    </w:p>
    <w:p w:rsidR="00757F1F" w:rsidRDefault="00757F1F" w:rsidP="00757F1F">
      <w:pPr>
        <w:jc w:val="both"/>
      </w:pPr>
    </w:p>
    <w:p w:rsidR="00757F1F" w:rsidRDefault="00757F1F" w:rsidP="00757F1F">
      <w:pPr>
        <w:jc w:val="both"/>
      </w:pPr>
      <w:r>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757F1F" w:rsidRDefault="00757F1F" w:rsidP="00757F1F">
      <w:pPr>
        <w:jc w:val="both"/>
      </w:pPr>
    </w:p>
    <w:p w:rsidR="00757F1F" w:rsidRDefault="00757F1F" w:rsidP="00757F1F">
      <w:pPr>
        <w:jc w:val="both"/>
      </w:pPr>
      <w:r>
        <w:t>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w:t>
      </w:r>
      <w:r>
        <w:t>i</w:t>
      </w:r>
      <w:r>
        <w:t xml:space="preserve">nion that critical thinking is now vital, and will be increasingly so in the future.  It can and must be learned.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Critical Thinking Skills Training</w:t>
      </w:r>
    </w:p>
    <w:p w:rsidR="00757F1F" w:rsidRPr="00526F7B" w:rsidRDefault="00757F1F" w:rsidP="00757F1F">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w:t>
      </w:r>
      <w:r w:rsidRPr="00526F7B">
        <w:t>e</w:t>
      </w:r>
      <w:r w:rsidRPr="00526F7B">
        <w:t>netic inclination, childhood experience, formal training, motivation, and natural selection based on trial and error.</w:t>
      </w:r>
    </w:p>
    <w:p w:rsidR="00757F1F" w:rsidRDefault="00757F1F" w:rsidP="00757F1F">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w:t>
      </w:r>
      <w:r>
        <w:t>z</w:t>
      </w:r>
      <w:r>
        <w:t>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757F1F" w:rsidRDefault="00757F1F" w:rsidP="00757F1F">
      <w:pPr>
        <w:jc w:val="both"/>
      </w:pPr>
    </w:p>
    <w:p w:rsidR="00757F1F" w:rsidRPr="00526F7B" w:rsidRDefault="00757F1F" w:rsidP="00757F1F">
      <w:pPr>
        <w:jc w:val="both"/>
      </w:pPr>
      <w:r w:rsidRPr="00526F7B">
        <w:t xml:space="preserve">Many studies have found that </w:t>
      </w:r>
      <w:r>
        <w:t xml:space="preserve">rubric </w:t>
      </w:r>
      <w:r w:rsidRPr="00526F7B">
        <w:t>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w:t>
      </w:r>
      <w:r w:rsidRPr="00526F7B">
        <w:t>o</w:t>
      </w:r>
      <w:r w:rsidRPr="00526F7B">
        <w:t xml:space="preserve">fessional school setting, nursing, came to virtually the same conclusion.  (Carter, </w:t>
      </w:r>
      <w:r w:rsidRPr="00526F7B">
        <w:rPr>
          <w:i/>
        </w:rPr>
        <w:t>et al.</w:t>
      </w:r>
      <w:r w:rsidRPr="00526F7B">
        <w:t>, 2016) This study is especia</w:t>
      </w:r>
      <w:r w:rsidRPr="00526F7B">
        <w:t>l</w:t>
      </w:r>
      <w:r w:rsidRPr="00526F7B">
        <w:t>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757F1F" w:rsidRPr="00526F7B" w:rsidRDefault="00757F1F" w:rsidP="00757F1F">
      <w:pPr>
        <w:jc w:val="both"/>
      </w:pPr>
    </w:p>
    <w:p w:rsidR="00757F1F" w:rsidRDefault="00757F1F" w:rsidP="00757F1F">
      <w:pPr>
        <w:jc w:val="both"/>
      </w:pPr>
      <w:r w:rsidRPr="00526F7B">
        <w:t>There are literally volumes that have been written on the plethora of approaches to defining, enumerating, and teac</w:t>
      </w:r>
      <w:r w:rsidRPr="00526F7B">
        <w:t>h</w:t>
      </w:r>
      <w:r w:rsidRPr="00526F7B">
        <w:t xml:space="preserve">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757F1F" w:rsidRPr="00526F7B" w:rsidRDefault="00757F1F" w:rsidP="00757F1F">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757F1F" w:rsidRPr="00526F7B" w:rsidTr="00022308">
        <w:tc>
          <w:tcPr>
            <w:tcW w:w="3690" w:type="dxa"/>
          </w:tcPr>
          <w:p w:rsidR="00757F1F" w:rsidRPr="00526F7B" w:rsidRDefault="00757F1F" w:rsidP="00757F1F">
            <w:pPr>
              <w:pStyle w:val="ListParagraph"/>
              <w:numPr>
                <w:ilvl w:val="0"/>
                <w:numId w:val="12"/>
              </w:numPr>
              <w:jc w:val="both"/>
            </w:pPr>
            <w:r w:rsidRPr="00526F7B">
              <w:t>Collecting data</w:t>
            </w:r>
          </w:p>
        </w:tc>
      </w:tr>
      <w:tr w:rsidR="00757F1F" w:rsidRPr="00526F7B" w:rsidTr="00022308">
        <w:tc>
          <w:tcPr>
            <w:tcW w:w="3690" w:type="dxa"/>
          </w:tcPr>
          <w:p w:rsidR="00757F1F" w:rsidRPr="00526F7B" w:rsidRDefault="00757F1F" w:rsidP="00757F1F">
            <w:pPr>
              <w:pStyle w:val="ListParagraph"/>
              <w:numPr>
                <w:ilvl w:val="0"/>
                <w:numId w:val="12"/>
              </w:numPr>
              <w:jc w:val="both"/>
            </w:pPr>
            <w:r w:rsidRPr="00526F7B">
              <w:t>Categorizing and analyzing</w:t>
            </w:r>
          </w:p>
        </w:tc>
      </w:tr>
      <w:tr w:rsidR="00757F1F" w:rsidRPr="00526F7B" w:rsidTr="00022308">
        <w:tc>
          <w:tcPr>
            <w:tcW w:w="3690" w:type="dxa"/>
          </w:tcPr>
          <w:p w:rsidR="00757F1F" w:rsidRPr="00526F7B" w:rsidRDefault="00757F1F" w:rsidP="00757F1F">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757F1F" w:rsidRPr="00526F7B" w:rsidTr="00022308">
        <w:tc>
          <w:tcPr>
            <w:tcW w:w="4140" w:type="dxa"/>
          </w:tcPr>
          <w:p w:rsidR="00757F1F" w:rsidRPr="00526F7B" w:rsidRDefault="00757F1F" w:rsidP="00757F1F">
            <w:pPr>
              <w:pStyle w:val="ListParagraph"/>
              <w:numPr>
                <w:ilvl w:val="0"/>
                <w:numId w:val="12"/>
              </w:numPr>
              <w:jc w:val="both"/>
            </w:pPr>
            <w:r w:rsidRPr="00526F7B">
              <w:t>Reviewing initial conclusions</w:t>
            </w:r>
          </w:p>
        </w:tc>
      </w:tr>
      <w:tr w:rsidR="00757F1F" w:rsidRPr="00526F7B" w:rsidTr="00022308">
        <w:tc>
          <w:tcPr>
            <w:tcW w:w="4140" w:type="dxa"/>
          </w:tcPr>
          <w:p w:rsidR="00757F1F" w:rsidRPr="00526F7B" w:rsidRDefault="00757F1F" w:rsidP="00757F1F">
            <w:pPr>
              <w:pStyle w:val="ListParagraph"/>
              <w:numPr>
                <w:ilvl w:val="0"/>
                <w:numId w:val="12"/>
              </w:numPr>
              <w:jc w:val="both"/>
            </w:pPr>
            <w:r w:rsidRPr="00526F7B">
              <w:t xml:space="preserve">Combining ideas and expanding uses </w:t>
            </w:r>
          </w:p>
        </w:tc>
      </w:tr>
      <w:tr w:rsidR="00757F1F" w:rsidRPr="00526F7B" w:rsidTr="00022308">
        <w:tc>
          <w:tcPr>
            <w:tcW w:w="4140" w:type="dxa"/>
          </w:tcPr>
          <w:p w:rsidR="00757F1F" w:rsidRPr="00526F7B" w:rsidRDefault="00757F1F" w:rsidP="00757F1F">
            <w:pPr>
              <w:pStyle w:val="ListParagraph"/>
              <w:numPr>
                <w:ilvl w:val="0"/>
                <w:numId w:val="12"/>
              </w:numPr>
              <w:jc w:val="both"/>
            </w:pPr>
            <w:r w:rsidRPr="00526F7B">
              <w:t xml:space="preserve">Internalizing the high order concepts </w:t>
            </w:r>
          </w:p>
        </w:tc>
      </w:tr>
    </w:tbl>
    <w:p w:rsidR="00757F1F" w:rsidRPr="00526F7B" w:rsidRDefault="00757F1F" w:rsidP="00757F1F">
      <w:pPr>
        <w:jc w:val="both"/>
      </w:pPr>
      <w:r>
        <w:t xml:space="preserve"> </w:t>
      </w:r>
    </w:p>
    <w:p w:rsidR="00757F1F" w:rsidRPr="00526F7B" w:rsidRDefault="00757F1F" w:rsidP="00757F1F">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757F1F" w:rsidRPr="00526F7B" w:rsidRDefault="00757F1F" w:rsidP="00757F1F">
      <w:pPr>
        <w:jc w:val="both"/>
      </w:pPr>
    </w:p>
    <w:p w:rsidR="00757F1F" w:rsidRDefault="00757F1F" w:rsidP="00757F1F">
      <w:pPr>
        <w:jc w:val="both"/>
      </w:pPr>
      <w:r w:rsidRPr="00526F7B">
        <w:lastRenderedPageBreak/>
        <w:t>Teaching the Critical Thinking processes to students ha</w:t>
      </w:r>
      <w:r>
        <w:t>s</w:t>
      </w:r>
      <w:r w:rsidRPr="00526F7B">
        <w:t xml:space="preserve"> been </w:t>
      </w:r>
      <w:r>
        <w:t>conducted</w:t>
      </w:r>
      <w:r w:rsidRPr="00526F7B">
        <w:t xml:space="preserve"> via a wide range of educational techniques: </w:t>
      </w:r>
    </w:p>
    <w:p w:rsidR="00757F1F" w:rsidRPr="00526F7B" w:rsidRDefault="00757F1F" w:rsidP="00757F1F">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757F1F" w:rsidRPr="00526F7B" w:rsidTr="00022308">
        <w:tc>
          <w:tcPr>
            <w:tcW w:w="2880" w:type="dxa"/>
          </w:tcPr>
          <w:p w:rsidR="00757F1F" w:rsidRPr="00526F7B" w:rsidRDefault="00757F1F" w:rsidP="00757F1F">
            <w:pPr>
              <w:pStyle w:val="ListParagraph"/>
              <w:numPr>
                <w:ilvl w:val="0"/>
                <w:numId w:val="13"/>
              </w:numPr>
              <w:jc w:val="both"/>
            </w:pPr>
            <w:r w:rsidRPr="00526F7B">
              <w:t>Didactic lectures</w:t>
            </w:r>
          </w:p>
        </w:tc>
        <w:tc>
          <w:tcPr>
            <w:tcW w:w="3150" w:type="dxa"/>
          </w:tcPr>
          <w:p w:rsidR="00757F1F" w:rsidRPr="00526F7B" w:rsidRDefault="00757F1F" w:rsidP="00757F1F">
            <w:pPr>
              <w:pStyle w:val="ListParagraph"/>
              <w:numPr>
                <w:ilvl w:val="0"/>
                <w:numId w:val="13"/>
              </w:numPr>
              <w:jc w:val="both"/>
            </w:pPr>
            <w:r w:rsidRPr="00526F7B">
              <w:t>Text book exposition</w:t>
            </w:r>
          </w:p>
        </w:tc>
      </w:tr>
      <w:tr w:rsidR="00757F1F" w:rsidRPr="00526F7B" w:rsidTr="00022308">
        <w:tc>
          <w:tcPr>
            <w:tcW w:w="2880" w:type="dxa"/>
          </w:tcPr>
          <w:p w:rsidR="00757F1F" w:rsidRPr="00526F7B" w:rsidRDefault="00757F1F" w:rsidP="00757F1F">
            <w:pPr>
              <w:pStyle w:val="ListParagraph"/>
              <w:numPr>
                <w:ilvl w:val="0"/>
                <w:numId w:val="13"/>
              </w:numPr>
              <w:jc w:val="both"/>
            </w:pPr>
            <w:r w:rsidRPr="00526F7B">
              <w:t>Small group exercises</w:t>
            </w:r>
          </w:p>
        </w:tc>
        <w:tc>
          <w:tcPr>
            <w:tcW w:w="3150" w:type="dxa"/>
          </w:tcPr>
          <w:p w:rsidR="00757F1F" w:rsidRPr="00526F7B" w:rsidRDefault="00757F1F" w:rsidP="00757F1F">
            <w:pPr>
              <w:pStyle w:val="ListParagraph"/>
              <w:numPr>
                <w:ilvl w:val="0"/>
                <w:numId w:val="13"/>
              </w:numPr>
              <w:jc w:val="both"/>
            </w:pPr>
            <w:r w:rsidRPr="00526F7B">
              <w:t>Model analyses</w:t>
            </w:r>
          </w:p>
        </w:tc>
      </w:tr>
      <w:tr w:rsidR="00757F1F" w:rsidRPr="00526F7B" w:rsidTr="00022308">
        <w:tc>
          <w:tcPr>
            <w:tcW w:w="2880" w:type="dxa"/>
          </w:tcPr>
          <w:p w:rsidR="00757F1F" w:rsidRPr="00526F7B" w:rsidRDefault="00757F1F" w:rsidP="00757F1F">
            <w:pPr>
              <w:pStyle w:val="ListParagraph"/>
              <w:numPr>
                <w:ilvl w:val="0"/>
                <w:numId w:val="13"/>
              </w:numPr>
              <w:jc w:val="both"/>
            </w:pPr>
            <w:r w:rsidRPr="00526F7B">
              <w:t>Text book exposition</w:t>
            </w:r>
          </w:p>
        </w:tc>
        <w:tc>
          <w:tcPr>
            <w:tcW w:w="3150" w:type="dxa"/>
          </w:tcPr>
          <w:p w:rsidR="00757F1F" w:rsidRPr="00526F7B" w:rsidRDefault="00757F1F" w:rsidP="00757F1F">
            <w:pPr>
              <w:pStyle w:val="ListParagraph"/>
              <w:numPr>
                <w:ilvl w:val="0"/>
                <w:numId w:val="13"/>
              </w:numPr>
              <w:jc w:val="both"/>
            </w:pPr>
            <w:r w:rsidRPr="00526F7B">
              <w:t>Socratic dialogues</w:t>
            </w:r>
          </w:p>
        </w:tc>
      </w:tr>
    </w:tbl>
    <w:p w:rsidR="00757F1F" w:rsidRPr="00526F7B" w:rsidRDefault="00757F1F" w:rsidP="00757F1F">
      <w:pPr>
        <w:jc w:val="both"/>
      </w:pPr>
    </w:p>
    <w:p w:rsidR="00757F1F" w:rsidRPr="00526F7B" w:rsidRDefault="00757F1F" w:rsidP="00757F1F">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w:t>
      </w:r>
      <w:r w:rsidRPr="00526F7B">
        <w:t>r</w:t>
      </w:r>
      <w:r w:rsidRPr="00526F7B">
        <w:t xml:space="preserve">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757F1F" w:rsidRPr="00526F7B" w:rsidRDefault="00757F1F" w:rsidP="00757F1F">
      <w:pPr>
        <w:jc w:val="both"/>
      </w:pPr>
    </w:p>
    <w:p w:rsidR="00757F1F" w:rsidRPr="00526F7B" w:rsidRDefault="00757F1F" w:rsidP="00757F1F">
      <w:pPr>
        <w:jc w:val="both"/>
      </w:pPr>
      <w:r w:rsidRPr="00526F7B">
        <w:t>Further, it has been observed that much of the enthusiasm students have for a particular topic, hence its impact on them, is based on their relationship to the instructor. While there is some commonality as to preferences for instru</w:t>
      </w:r>
      <w:r w:rsidRPr="00526F7B">
        <w:t>c</w:t>
      </w:r>
      <w:r w:rsidRPr="00526F7B">
        <w:t xml:space="preserve">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A Computer-Aided Training Approach</w:t>
      </w:r>
    </w:p>
    <w:p w:rsidR="00757F1F" w:rsidRPr="00526F7B" w:rsidRDefault="00757F1F" w:rsidP="00757F1F">
      <w:pPr>
        <w:jc w:val="both"/>
      </w:pPr>
      <w:r w:rsidRPr="00526F7B">
        <w:t>Many of the inhibitions mentioned above can be successfully overcome by Computer Aided Education.  New a</w:t>
      </w:r>
      <w:r w:rsidRPr="00526F7B">
        <w:t>d</w:t>
      </w:r>
      <w:r w:rsidRPr="00526F7B">
        <w:t>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w:t>
      </w:r>
      <w:r w:rsidRPr="00526F7B">
        <w:t>s</w:t>
      </w:r>
      <w:r w:rsidRPr="00526F7B">
        <w:t>ness of the issue or the efficacy of the recommended computer system’s response to that issue.</w:t>
      </w:r>
    </w:p>
    <w:p w:rsidR="00757F1F" w:rsidRPr="00526F7B" w:rsidRDefault="00757F1F" w:rsidP="00757F1F">
      <w:pPr>
        <w:jc w:val="both"/>
      </w:pPr>
    </w:p>
    <w:p w:rsidR="00757F1F" w:rsidRPr="00526F7B" w:rsidRDefault="00757F1F" w:rsidP="00757F1F">
      <w:pPr>
        <w:jc w:val="both"/>
      </w:pPr>
      <w:r w:rsidRPr="00526F7B">
        <w:t>A large portion of human communication becomes more compelling, more cogent and more comprehended if pr</w:t>
      </w:r>
      <w:r w:rsidRPr="00526F7B">
        <w:t>e</w:t>
      </w:r>
      <w:r w:rsidRPr="00526F7B">
        <w:t xml:space="preserve">sented by a human, (EduNote, 2016) but the provision of humans is expensive and sometimes dangerous, </w:t>
      </w:r>
      <w:r w:rsidRPr="00526F7B">
        <w:rPr>
          <w:i/>
        </w:rPr>
        <w:t>e.g</w:t>
      </w:r>
      <w:r w:rsidRPr="00526F7B">
        <w:t>. sen</w:t>
      </w:r>
      <w:r w:rsidRPr="00526F7B">
        <w:t>d</w:t>
      </w:r>
      <w:r w:rsidRPr="00526F7B">
        <w:t xml:space="preserve">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757F1F" w:rsidRPr="00526F7B" w:rsidRDefault="00656AAD" w:rsidP="00757F1F">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757F1F" w:rsidRDefault="00757F1F" w:rsidP="00757F1F">
                  <w:pPr>
                    <w:keepNext/>
                    <w:tabs>
                      <w:tab w:val="left" w:pos="1386"/>
                    </w:tabs>
                    <w:jc w:val="center"/>
                  </w:pPr>
                  <w:r>
                    <w:rPr>
                      <w:noProof/>
                    </w:rPr>
                    <w:drawing>
                      <wp:inline distT="0" distB="0" distL="0" distR="0">
                        <wp:extent cx="1936074" cy="1496290"/>
                        <wp:effectExtent l="19050" t="0" r="7026" b="0"/>
                        <wp:docPr id="7"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757F1F" w:rsidRPr="00945EBA" w:rsidRDefault="00757F1F" w:rsidP="00757F1F">
                  <w:pPr>
                    <w:pStyle w:val="Caption"/>
                    <w:jc w:val="center"/>
                    <w:rPr>
                      <w:color w:val="auto"/>
                    </w:rPr>
                  </w:pPr>
                  <w:r w:rsidRPr="00945EBA">
                    <w:rPr>
                      <w:color w:val="auto"/>
                    </w:rPr>
                    <w:t xml:space="preserve">Figure </w:t>
                  </w:r>
                  <w:r w:rsidR="00656AAD" w:rsidRPr="00945EBA">
                    <w:rPr>
                      <w:color w:val="auto"/>
                    </w:rPr>
                    <w:fldChar w:fldCharType="begin"/>
                  </w:r>
                  <w:r w:rsidRPr="00945EBA">
                    <w:rPr>
                      <w:color w:val="auto"/>
                    </w:rPr>
                    <w:instrText xml:space="preserve"> SEQ Figure \* ARABIC </w:instrText>
                  </w:r>
                  <w:r w:rsidR="00656AAD" w:rsidRPr="00945EBA">
                    <w:rPr>
                      <w:color w:val="auto"/>
                    </w:rPr>
                    <w:fldChar w:fldCharType="separate"/>
                  </w:r>
                  <w:r>
                    <w:rPr>
                      <w:noProof/>
                      <w:color w:val="auto"/>
                    </w:rPr>
                    <w:t>1</w:t>
                  </w:r>
                  <w:r w:rsidR="00656AAD" w:rsidRPr="00945EBA">
                    <w:rPr>
                      <w:color w:val="auto"/>
                    </w:rPr>
                    <w:fldChar w:fldCharType="end"/>
                  </w:r>
                  <w:r w:rsidRPr="00945EBA">
                    <w:rPr>
                      <w:color w:val="auto"/>
                    </w:rPr>
                    <w:t xml:space="preserve"> - Video-taped Interview </w:t>
                  </w:r>
                  <w:r w:rsidRPr="00945EBA">
                    <w:rPr>
                      <w:color w:val="auto"/>
                    </w:rPr>
                    <w:br/>
                    <w:t>Head and Shoulders on monitor</w:t>
                  </w:r>
                </w:p>
                <w:p w:rsidR="00757F1F" w:rsidRDefault="00757F1F" w:rsidP="00757F1F"/>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757F1F" w:rsidRDefault="00757F1F" w:rsidP="00757F1F">
                  <w:pPr>
                    <w:pStyle w:val="Caption"/>
                    <w:jc w:val="center"/>
                  </w:pPr>
                  <w:r>
                    <w:rPr>
                      <w:noProof/>
                    </w:rPr>
                    <w:drawing>
                      <wp:inline distT="0" distB="0" distL="0" distR="0">
                        <wp:extent cx="1920835" cy="1498626"/>
                        <wp:effectExtent l="19050" t="0" r="3215" b="0"/>
                        <wp:docPr id="5"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656AAD" w:rsidRPr="00945EBA">
                    <w:rPr>
                      <w:color w:val="auto"/>
                    </w:rPr>
                    <w:fldChar w:fldCharType="begin"/>
                  </w:r>
                  <w:r w:rsidRPr="00945EBA">
                    <w:rPr>
                      <w:color w:val="auto"/>
                    </w:rPr>
                    <w:instrText xml:space="preserve"> SEQ Figure \* ARABIC </w:instrText>
                  </w:r>
                  <w:r w:rsidR="00656AAD" w:rsidRPr="00945EBA">
                    <w:rPr>
                      <w:color w:val="auto"/>
                    </w:rPr>
                    <w:fldChar w:fldCharType="separate"/>
                  </w:r>
                  <w:r>
                    <w:rPr>
                      <w:noProof/>
                      <w:color w:val="auto"/>
                    </w:rPr>
                    <w:t>2</w:t>
                  </w:r>
                  <w:r w:rsidR="00656AAD"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757F1F" w:rsidRDefault="00757F1F" w:rsidP="00757F1F"/>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757F1F" w:rsidRPr="00945EBA" w:rsidRDefault="00757F1F" w:rsidP="00757F1F">
                  <w:pPr>
                    <w:pStyle w:val="Caption"/>
                    <w:jc w:val="center"/>
                    <w:rPr>
                      <w:color w:val="auto"/>
                    </w:rPr>
                  </w:pPr>
                  <w:r>
                    <w:rPr>
                      <w:noProof/>
                    </w:rPr>
                    <w:drawing>
                      <wp:inline distT="0" distB="0" distL="0" distR="0">
                        <wp:extent cx="1919063" cy="1478478"/>
                        <wp:effectExtent l="19050" t="0" r="4987" b="0"/>
                        <wp:docPr id="4"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656AAD" w:rsidRPr="00945EBA">
                    <w:rPr>
                      <w:color w:val="auto"/>
                    </w:rPr>
                    <w:fldChar w:fldCharType="begin"/>
                  </w:r>
                  <w:r w:rsidRPr="00945EBA">
                    <w:rPr>
                      <w:color w:val="auto"/>
                    </w:rPr>
                    <w:instrText xml:space="preserve"> SEQ Figure \* ARABIC </w:instrText>
                  </w:r>
                  <w:r w:rsidR="00656AAD" w:rsidRPr="00945EBA">
                    <w:rPr>
                      <w:color w:val="auto"/>
                    </w:rPr>
                    <w:fldChar w:fldCharType="separate"/>
                  </w:r>
                  <w:r>
                    <w:rPr>
                      <w:noProof/>
                      <w:color w:val="auto"/>
                    </w:rPr>
                    <w:t>3</w:t>
                  </w:r>
                  <w:r w:rsidR="00656AAD" w:rsidRPr="00945EBA">
                    <w:rPr>
                      <w:color w:val="auto"/>
                    </w:rPr>
                    <w:fldChar w:fldCharType="end"/>
                  </w:r>
                  <w:r w:rsidRPr="00945EBA">
                    <w:rPr>
                      <w:color w:val="auto"/>
                    </w:rPr>
                    <w:t xml:space="preserve"> - Fully Animated SimCoach </w:t>
                  </w:r>
                  <w:r w:rsidRPr="00945EBA">
                    <w:rPr>
                      <w:color w:val="auto"/>
                    </w:rPr>
                    <w:br/>
                    <w:t>CGI with alternative characters</w:t>
                  </w:r>
                </w:p>
                <w:p w:rsidR="00757F1F" w:rsidRDefault="00757F1F" w:rsidP="00757F1F"/>
              </w:txbxContent>
            </v:textbox>
            <w10:wrap type="square"/>
          </v:shape>
        </w:pict>
      </w:r>
    </w:p>
    <w:p w:rsidR="00757F1F" w:rsidRPr="00526F7B" w:rsidRDefault="00757F1F" w:rsidP="00757F1F">
      <w:pPr>
        <w:jc w:val="both"/>
      </w:pPr>
    </w:p>
    <w:p w:rsidR="00757F1F" w:rsidRPr="00526F7B" w:rsidRDefault="00757F1F" w:rsidP="00757F1F">
      <w:pPr>
        <w:jc w:val="both"/>
      </w:pPr>
      <w:r w:rsidRPr="00526F7B">
        <w:t>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w:t>
      </w:r>
      <w:r w:rsidRPr="00526F7B">
        <w:t>t</w:t>
      </w:r>
      <w:r w:rsidRPr="00526F7B">
        <w:t>work capability. Further, it can be provided at any time and is not seriously disrupted by unanticipated breaks in instructional time, being ready to resume where it left off, immediately upon being cued that the user is on-line again.  This 24 by 7 availability and immunization against disruption due to intruding operational requirements a</w:t>
      </w:r>
      <w:r w:rsidRPr="00526F7B">
        <w:t>d</w:t>
      </w:r>
      <w:r w:rsidRPr="00526F7B">
        <w:t xml:space="preserve">dresses the above noted operational constraints.  </w:t>
      </w:r>
    </w:p>
    <w:p w:rsidR="00757F1F" w:rsidRPr="00526F7B" w:rsidRDefault="00757F1F" w:rsidP="00757F1F">
      <w:pPr>
        <w:jc w:val="both"/>
      </w:pPr>
    </w:p>
    <w:p w:rsidR="00757F1F" w:rsidRPr="00526F7B" w:rsidRDefault="00757F1F" w:rsidP="00757F1F">
      <w:pPr>
        <w:jc w:val="both"/>
      </w:pPr>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w:t>
      </w:r>
      <w:r w:rsidRPr="00526F7B">
        <w:t>i</w:t>
      </w:r>
      <w:r w:rsidRPr="00526F7B">
        <w:t>alogues, the responsive avatar has been shown to be more arresting and retain interest of the user longer and elicit more conversational input from the user. (ICT, 2015b)</w:t>
      </w:r>
    </w:p>
    <w:p w:rsidR="00757F1F" w:rsidRPr="00526F7B" w:rsidRDefault="00757F1F" w:rsidP="00757F1F">
      <w:pPr>
        <w:jc w:val="both"/>
      </w:pPr>
    </w:p>
    <w:p w:rsidR="00757F1F" w:rsidRPr="00526F7B" w:rsidRDefault="00757F1F" w:rsidP="00757F1F">
      <w:pPr>
        <w:jc w:val="both"/>
      </w:pPr>
      <w:r w:rsidRPr="00526F7B">
        <w:t>So, what would such a system look like and what would be the benefits of such an approach?  This kind of system should be cross-platform compatible, which is easily accomplished with current Web technologies, including detec</w:t>
      </w:r>
      <w:r w:rsidRPr="00526F7B">
        <w:t>t</w:t>
      </w:r>
      <w:r w:rsidRPr="00526F7B">
        <w:t xml:space="preserve">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2010) While this system was designed to advance analysis and evaluation for the Joint Experimentation, its training fun</w:t>
      </w:r>
      <w:r w:rsidRPr="00526F7B">
        <w:t>c</w:t>
      </w:r>
      <w:r w:rsidRPr="00526F7B">
        <w:t xml:space="preserve">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757F1F" w:rsidRPr="00526F7B" w:rsidRDefault="00757F1F" w:rsidP="00757F1F">
      <w:pPr>
        <w:jc w:val="both"/>
      </w:pPr>
      <w:r w:rsidRPr="00526F7B">
        <w:rPr>
          <w:noProof/>
        </w:rPr>
        <w:t xml:space="preserve"> </w:t>
      </w:r>
    </w:p>
    <w:p w:rsidR="00757F1F" w:rsidRPr="00526F7B" w:rsidRDefault="00656AAD" w:rsidP="00757F1F">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757F1F" w:rsidRDefault="00757F1F" w:rsidP="00757F1F">
                  <w:pPr>
                    <w:pStyle w:val="Caption"/>
                    <w:jc w:val="center"/>
                    <w:rPr>
                      <w:color w:val="000000" w:themeColor="text1"/>
                    </w:rPr>
                  </w:pPr>
                  <w:r w:rsidRPr="006633F6">
                    <w:rPr>
                      <w:noProof/>
                    </w:rPr>
                    <w:drawing>
                      <wp:inline distT="0" distB="0" distL="0" distR="0">
                        <wp:extent cx="4337891" cy="2291938"/>
                        <wp:effectExtent l="19050" t="0" r="5509" b="0"/>
                        <wp:docPr id="1"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757F1F" w:rsidRPr="00526F7B" w:rsidRDefault="00757F1F" w:rsidP="00757F1F">
                  <w:pPr>
                    <w:pStyle w:val="Caption"/>
                    <w:jc w:val="center"/>
                    <w:rPr>
                      <w:color w:val="000000" w:themeColor="text1"/>
                    </w:rPr>
                  </w:pPr>
                  <w:r w:rsidRPr="00526F7B">
                    <w:rPr>
                      <w:color w:val="000000" w:themeColor="text1"/>
                    </w:rPr>
                    <w:t xml:space="preserve">Figure </w:t>
                  </w:r>
                  <w:r w:rsidR="00656AAD" w:rsidRPr="00526F7B">
                    <w:rPr>
                      <w:color w:val="000000" w:themeColor="text1"/>
                    </w:rPr>
                    <w:fldChar w:fldCharType="begin"/>
                  </w:r>
                  <w:r w:rsidRPr="00526F7B">
                    <w:rPr>
                      <w:color w:val="000000" w:themeColor="text1"/>
                    </w:rPr>
                    <w:instrText xml:space="preserve"> SEQ Figure \* ARABIC </w:instrText>
                  </w:r>
                  <w:r w:rsidR="00656AAD" w:rsidRPr="00526F7B">
                    <w:rPr>
                      <w:color w:val="000000" w:themeColor="text1"/>
                    </w:rPr>
                    <w:fldChar w:fldCharType="separate"/>
                  </w:r>
                  <w:r>
                    <w:rPr>
                      <w:noProof/>
                      <w:color w:val="000000" w:themeColor="text1"/>
                    </w:rPr>
                    <w:t>4</w:t>
                  </w:r>
                  <w:r w:rsidR="00656AAD"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757F1F" w:rsidRDefault="00757F1F" w:rsidP="00757F1F"/>
              </w:txbxContent>
            </v:textbox>
            <w10:wrap type="square"/>
          </v:shape>
        </w:pict>
      </w:r>
      <w:r w:rsidR="00757F1F" w:rsidRPr="00526F7B">
        <w:t>The trans-continental capabilities of such exercises stand as solid evidence that a global network could reliably pr</w:t>
      </w:r>
      <w:r w:rsidR="00757F1F" w:rsidRPr="00526F7B">
        <w:t>o</w:t>
      </w:r>
      <w:r w:rsidR="00757F1F" w:rsidRPr="00526F7B">
        <w:t>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w:t>
      </w:r>
      <w:r w:rsidR="00757F1F" w:rsidRPr="00526F7B">
        <w:t>r</w:t>
      </w:r>
      <w:r w:rsidR="00757F1F" w:rsidRPr="00526F7B">
        <w:t xml:space="preserve">ent loss of realism.  There were some issues with use of pointing devices such as mice, as these are susceptible to operator disorientation from latencies even as short as half a second.  </w:t>
      </w:r>
      <w:r w:rsidR="00757F1F">
        <w:t>The cursor would move on the local monitor, but the resultant impact on the image, controlled by the remote process, was a qua</w:t>
      </w:r>
      <w:r w:rsidR="00757F1F">
        <w:t>r</w:t>
      </w:r>
      <w:r w:rsidR="00757F1F">
        <w:t xml:space="preserve">ter second later. </w:t>
      </w:r>
      <w:r w:rsidR="00757F1F" w:rsidRPr="00526F7B">
        <w:t>These i</w:t>
      </w:r>
      <w:r w:rsidR="00757F1F" w:rsidRPr="00526F7B">
        <w:t>s</w:t>
      </w:r>
      <w:r w:rsidR="00757F1F" w:rsidRPr="00526F7B">
        <w:t>sues were met by prepos</w:t>
      </w:r>
      <w:r w:rsidR="00757F1F" w:rsidRPr="00526F7B">
        <w:t>i</w:t>
      </w:r>
      <w:r w:rsidR="00757F1F" w:rsidRPr="00526F7B">
        <w:t>tioning interface data on local computers and caching of instructions.  Convers</w:t>
      </w:r>
      <w:r w:rsidR="00757F1F" w:rsidRPr="00526F7B">
        <w:t>a</w:t>
      </w:r>
      <w:r w:rsidR="00757F1F" w:rsidRPr="00526F7B">
        <w:t>tional delays of this length are not uncommon in ever</w:t>
      </w:r>
      <w:r w:rsidR="00757F1F" w:rsidRPr="00526F7B">
        <w:t>y</w:t>
      </w:r>
      <w:r w:rsidR="00757F1F" w:rsidRPr="00526F7B">
        <w:t>day speech, so should not raise the same concerns. Bandwidths are not co</w:t>
      </w:r>
      <w:r w:rsidR="00757F1F" w:rsidRPr="00526F7B">
        <w:t>n</w:t>
      </w:r>
      <w:r w:rsidR="00757F1F" w:rsidRPr="00526F7B">
        <w:t>straining during normal o</w:t>
      </w:r>
      <w:r w:rsidR="00757F1F" w:rsidRPr="00526F7B">
        <w:t>p</w:t>
      </w:r>
      <w:r w:rsidR="00757F1F" w:rsidRPr="00526F7B">
        <w:t>erations and training would be suspended during times of national emergency.</w:t>
      </w:r>
    </w:p>
    <w:p w:rsidR="00757F1F" w:rsidRPr="00526F7B" w:rsidRDefault="00757F1F" w:rsidP="00757F1F">
      <w:pPr>
        <w:jc w:val="both"/>
      </w:pPr>
    </w:p>
    <w:p w:rsidR="00757F1F" w:rsidRPr="00526F7B" w:rsidRDefault="00757F1F" w:rsidP="00757F1F">
      <w:pPr>
        <w:keepNext/>
        <w:jc w:val="center"/>
      </w:pPr>
    </w:p>
    <w:p w:rsidR="00757F1F" w:rsidRPr="00526F7B" w:rsidRDefault="00757F1F" w:rsidP="00757F1F">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w:t>
      </w:r>
      <w:r w:rsidRPr="00526F7B">
        <w:t>a</w:t>
      </w:r>
      <w:r w:rsidRPr="00526F7B">
        <w:t>tions.  In both cases, the students would be driven by direction from the tutor/mentor to consider their critical thin</w:t>
      </w:r>
      <w:r w:rsidRPr="00526F7B">
        <w:t>k</w:t>
      </w:r>
      <w:r w:rsidRPr="00526F7B">
        <w:t xml:space="preserve">ing strategies and critique their approaches in a meta-cognitive analysis. </w:t>
      </w:r>
    </w:p>
    <w:p w:rsidR="00757F1F" w:rsidRPr="00526F7B" w:rsidRDefault="00757F1F" w:rsidP="00757F1F">
      <w:pPr>
        <w:jc w:val="both"/>
      </w:pPr>
    </w:p>
    <w:p w:rsidR="00757F1F" w:rsidRPr="00526F7B" w:rsidRDefault="00757F1F" w:rsidP="00757F1F">
      <w:pPr>
        <w:jc w:val="both"/>
      </w:pPr>
      <w:r w:rsidRPr="00526F7B">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w:t>
      </w:r>
      <w:r w:rsidRPr="00526F7B">
        <w:t>u</w:t>
      </w:r>
      <w:r w:rsidRPr="00526F7B">
        <w:t>dents in realistic settings, either historical</w:t>
      </w:r>
      <w:r>
        <w:t>, current</w:t>
      </w:r>
      <w:r w:rsidRPr="00526F7B">
        <w:t xml:space="preserve"> or prospective.  These could be invoked to assess the validity of </w:t>
      </w:r>
      <w:r w:rsidRPr="00526F7B">
        <w:lastRenderedPageBreak/>
        <w:t>their decisions.  The outcomes would, of course, be caveated with the warnings that they represent a stochastic r</w:t>
      </w:r>
      <w:r w:rsidRPr="00526F7B">
        <w:t>e</w:t>
      </w:r>
      <w:r w:rsidRPr="00526F7B">
        <w:t xml:space="preserv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757F1F" w:rsidRPr="00526F7B" w:rsidRDefault="00757F1F" w:rsidP="00757F1F">
      <w:pPr>
        <w:jc w:val="both"/>
      </w:pPr>
    </w:p>
    <w:p w:rsidR="00757F1F" w:rsidRPr="00526F7B" w:rsidRDefault="00757F1F" w:rsidP="00757F1F">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757F1F" w:rsidRPr="00526F7B" w:rsidRDefault="00757F1F" w:rsidP="00757F1F">
      <w:pPr>
        <w:jc w:val="both"/>
      </w:pPr>
    </w:p>
    <w:p w:rsidR="00757F1F" w:rsidRPr="00526F7B" w:rsidRDefault="00757F1F" w:rsidP="00757F1F">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757F1F" w:rsidRPr="00526F7B" w:rsidRDefault="00757F1F" w:rsidP="00757F1F">
      <w:pPr>
        <w:jc w:val="both"/>
      </w:pPr>
    </w:p>
    <w:p w:rsidR="00757F1F" w:rsidRPr="00526F7B" w:rsidRDefault="00757F1F" w:rsidP="00757F1F">
      <w:pPr>
        <w:pStyle w:val="CrtThnSubHd"/>
        <w:rPr>
          <w:rFonts w:ascii="Times New Roman" w:hAnsi="Times New Roman" w:cs="Times New Roman"/>
        </w:rPr>
      </w:pPr>
      <w:r w:rsidRPr="00526F7B">
        <w:rPr>
          <w:rFonts w:ascii="Times New Roman" w:hAnsi="Times New Roman" w:cs="Times New Roman"/>
        </w:rPr>
        <w:t>Implementation Vision</w:t>
      </w:r>
    </w:p>
    <w:p w:rsidR="00757F1F" w:rsidRPr="00526F7B" w:rsidRDefault="00757F1F" w:rsidP="00757F1F">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w:t>
      </w:r>
      <w:r w:rsidRPr="00526F7B">
        <w:t>r</w:t>
      </w:r>
      <w:r w:rsidRPr="00526F7B">
        <w:t xml:space="preserve">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757F1F" w:rsidRPr="00526F7B" w:rsidRDefault="00757F1F" w:rsidP="00757F1F">
      <w:pPr>
        <w:jc w:val="both"/>
      </w:pPr>
    </w:p>
    <w:p w:rsidR="00757F1F" w:rsidRPr="00526F7B" w:rsidRDefault="00757F1F" w:rsidP="00757F1F">
      <w:pPr>
        <w:jc w:val="both"/>
      </w:pPr>
      <w:r w:rsidRPr="00526F7B">
        <w:t>Selection of the particular pedagogical approach to enhancing critical thinking skills would also require careful co</w:t>
      </w:r>
      <w:r w:rsidRPr="00526F7B">
        <w:t>n</w:t>
      </w:r>
      <w:r w:rsidRPr="00526F7B">
        <w:t xml:space="preserve">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757F1F" w:rsidRPr="00526F7B" w:rsidRDefault="00757F1F" w:rsidP="00757F1F">
      <w:pPr>
        <w:jc w:val="both"/>
      </w:pPr>
    </w:p>
    <w:p w:rsidR="00757F1F" w:rsidRDefault="00757F1F" w:rsidP="00757F1F">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10"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sidR="00656AAD">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757F1F" w:rsidRPr="00916A96" w:rsidRDefault="00757F1F" w:rsidP="00757F1F">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w:t>
      </w:r>
      <w:r w:rsidRPr="00526F7B">
        <w:t>n</w:t>
      </w:r>
      <w:r w:rsidRPr="00526F7B">
        <w:t>sion would be the scenario’s position in world history. In order to engage and maintain the interest of each participant, having this range of settings could allow each of the users to pick the period of history that is the most enticing.  The impact of America’s Army on trai</w:t>
      </w:r>
      <w:r w:rsidRPr="00526F7B">
        <w:t>n</w:t>
      </w:r>
      <w:r w:rsidRPr="00526F7B">
        <w:t>ing was generated by the original entertainment value of the program, which had been developed as a recrui</w:t>
      </w:r>
      <w:r w:rsidRPr="00526F7B">
        <w:t>t</w:t>
      </w:r>
      <w:r w:rsidRPr="00526F7B">
        <w:t>ing tool, not a training program. Having a set of pro</w:t>
      </w:r>
      <w:r w:rsidRPr="00526F7B">
        <w:t>b</w:t>
      </w:r>
      <w:r w:rsidRPr="00526F7B">
        <w:t>lems from different time periods could go a long way to retain users. The periods offered could be: cla</w:t>
      </w:r>
      <w:r w:rsidRPr="00526F7B">
        <w:t>s</w:t>
      </w:r>
      <w:r w:rsidRPr="00526F7B">
        <w:t>sical, medieval, Napoleonic, U.S. Civil War, the World Wars, Vietnam and today. These would offer attractive alte</w:t>
      </w:r>
      <w:r w:rsidRPr="00526F7B">
        <w:t>r</w:t>
      </w:r>
      <w:r w:rsidRPr="00526F7B">
        <w:t>natives to personnel with differing personal enthusiasms including a “Present Day”</w:t>
      </w:r>
      <w:r>
        <w:t xml:space="preserve"> or future</w:t>
      </w:r>
      <w:r w:rsidRPr="00526F7B">
        <w:t xml:space="preserve"> setting</w:t>
      </w:r>
      <w:r>
        <w:t>s</w:t>
      </w:r>
      <w:r w:rsidRPr="00526F7B">
        <w:t xml:space="preserve">. </w:t>
      </w:r>
    </w:p>
    <w:p w:rsidR="00757F1F" w:rsidRPr="00526F7B" w:rsidRDefault="00757F1F" w:rsidP="00757F1F">
      <w:pPr>
        <w:jc w:val="both"/>
      </w:pPr>
    </w:p>
    <w:p w:rsidR="00757F1F" w:rsidRPr="00526F7B" w:rsidRDefault="00757F1F" w:rsidP="00757F1F">
      <w:pPr>
        <w:jc w:val="both"/>
      </w:pPr>
      <w:r w:rsidRPr="00526F7B">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757F1F" w:rsidRPr="00526F7B" w:rsidRDefault="00757F1F" w:rsidP="00757F1F">
      <w:pPr>
        <w:jc w:val="both"/>
      </w:pPr>
    </w:p>
    <w:p w:rsidR="00757F1F" w:rsidRPr="00526F7B" w:rsidRDefault="00757F1F" w:rsidP="00757F1F">
      <w:pPr>
        <w:jc w:val="both"/>
      </w:pPr>
      <w:r w:rsidRPr="00526F7B">
        <w:t>The last dimension is the most open to discussion.  As the program focuses on skills required for critical thinking, these may be parsed out in ways that would suggest or require individual modules to isolate issues and enable qua</w:t>
      </w:r>
      <w:r w:rsidRPr="00526F7B">
        <w:t>n</w:t>
      </w:r>
      <w:r w:rsidRPr="00526F7B">
        <w:t xml:space="preserve">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757F1F" w:rsidRPr="00526F7B" w:rsidRDefault="00757F1F" w:rsidP="00757F1F">
      <w:pPr>
        <w:jc w:val="both"/>
      </w:pPr>
    </w:p>
    <w:p w:rsidR="00757F1F" w:rsidRPr="00526F7B" w:rsidRDefault="00757F1F" w:rsidP="00757F1F">
      <w:pPr>
        <w:jc w:val="both"/>
      </w:pPr>
      <w:r w:rsidRPr="00526F7B">
        <w:t>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w:t>
      </w:r>
      <w:r w:rsidRPr="00526F7B">
        <w:t>o</w:t>
      </w:r>
      <w:r w:rsidRPr="00526F7B">
        <w:t>vide the seamless interface needed for conversational fluidity.  Previous research has indicated that a response rep</w:t>
      </w:r>
      <w:r w:rsidRPr="00526F7B">
        <w:t>o</w:t>
      </w:r>
      <w:r w:rsidRPr="00526F7B">
        <w:t xml:space="preserve">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w:t>
      </w:r>
      <w:r w:rsidRPr="00526F7B">
        <w:t>a</w:t>
      </w:r>
      <w:r w:rsidRPr="00526F7B">
        <w:t>tive work on the historical period scenarios</w:t>
      </w:r>
      <w:r>
        <w:t xml:space="preserve"> (a good project of the Service Academy student bodies?)</w:t>
      </w:r>
      <w:r w:rsidRPr="00526F7B">
        <w:t>.</w:t>
      </w:r>
    </w:p>
    <w:p w:rsidR="00757F1F" w:rsidRPr="00526F7B" w:rsidRDefault="00757F1F" w:rsidP="00757F1F">
      <w:pPr>
        <w:jc w:val="both"/>
      </w:pPr>
    </w:p>
    <w:p w:rsidR="00757F1F" w:rsidRPr="00526F7B" w:rsidRDefault="00757F1F" w:rsidP="00757F1F">
      <w:pPr>
        <w:jc w:val="both"/>
      </w:pPr>
      <w:r w:rsidRPr="00526F7B">
        <w:t>Both Socratic teaching and meaningful mentorship involve more question-asking than direction-giving, so the que</w:t>
      </w:r>
      <w:r w:rsidRPr="00526F7B">
        <w:t>s</w:t>
      </w:r>
      <w:r w:rsidRPr="00526F7B">
        <w:t>tions must have a set of cogent follow-on comments prepared for a range of responses.  This is where the capabil</w:t>
      </w:r>
      <w:r w:rsidRPr="00526F7B">
        <w:t>i</w:t>
      </w:r>
      <w:r w:rsidRPr="00526F7B">
        <w:t>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757F1F" w:rsidRPr="00526F7B" w:rsidRDefault="00757F1F" w:rsidP="00757F1F">
      <w:pPr>
        <w:jc w:val="both"/>
      </w:pPr>
    </w:p>
    <w:p w:rsidR="00757F1F" w:rsidRPr="00526F7B" w:rsidRDefault="00757F1F" w:rsidP="00757F1F">
      <w:pPr>
        <w:jc w:val="both"/>
      </w:pPr>
      <w:r w:rsidRPr="00526F7B">
        <w:t>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w:t>
      </w:r>
      <w:r w:rsidRPr="00526F7B">
        <w:t>s</w:t>
      </w:r>
      <w:r w:rsidRPr="00526F7B">
        <w:t xml:space="preserve">tem could easily be constructed to support whatever decision is made in this realm. </w:t>
      </w:r>
    </w:p>
    <w:p w:rsidR="00757F1F" w:rsidRPr="00526F7B" w:rsidRDefault="00757F1F" w:rsidP="00757F1F">
      <w:pPr>
        <w:jc w:val="both"/>
      </w:pPr>
    </w:p>
    <w:p w:rsidR="00757F1F" w:rsidRPr="00526F7B" w:rsidRDefault="00757F1F" w:rsidP="00757F1F">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757F1F" w:rsidRPr="00526F7B" w:rsidRDefault="00757F1F" w:rsidP="00757F1F">
      <w:pPr>
        <w:jc w:val="both"/>
      </w:pPr>
    </w:p>
    <w:p w:rsidR="00757F1F" w:rsidRPr="00526F7B" w:rsidRDefault="00757F1F" w:rsidP="00757F1F">
      <w:pPr>
        <w:jc w:val="both"/>
      </w:pPr>
      <w:r w:rsidRPr="00526F7B">
        <w:t>Given the recent development of interactive virtual avatars, there are many causes for concern in regards to the e</w:t>
      </w:r>
      <w:r w:rsidRPr="00526F7B">
        <w:t>f</w:t>
      </w:r>
      <w:r w:rsidRPr="00526F7B">
        <w:t>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w:t>
      </w:r>
      <w:r w:rsidRPr="00526F7B">
        <w:t>e</w:t>
      </w:r>
      <w:r w:rsidRPr="00526F7B">
        <w:t xml:space="preserv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Siri or Google Voice, is commonplace. With this obse</w:t>
      </w:r>
      <w:r w:rsidRPr="00526F7B">
        <w:t>r</w:t>
      </w:r>
      <w:r w:rsidRPr="00526F7B">
        <w:t xml:space="preserve">vation in place, the concept of interaction with virtual avatars is not so farfetched. In fact, several projects done at the Institute for Creative Technologies have found positive relationships between virtual avatar and user. </w:t>
      </w:r>
    </w:p>
    <w:p w:rsidR="00757F1F" w:rsidRPr="00526F7B" w:rsidRDefault="00757F1F" w:rsidP="00757F1F">
      <w:pPr>
        <w:jc w:val="both"/>
      </w:pPr>
    </w:p>
    <w:p w:rsidR="00757F1F" w:rsidRPr="00526F7B" w:rsidRDefault="00757F1F" w:rsidP="00757F1F">
      <w:pPr>
        <w:jc w:val="both"/>
      </w:pPr>
      <w:r w:rsidRPr="00526F7B">
        <w:t xml:space="preserve">The New Dimensions in Testimony (NDT) project developed an interactive storytelling avatar after interviewing several Holocaust survivors. Students used the technology and evaluated their experience in surveys, “The post-surveys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w:t>
      </w:r>
      <w:r w:rsidRPr="00526F7B">
        <w:lastRenderedPageBreak/>
        <w:t xml:space="preserve">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757F1F" w:rsidRPr="00526F7B" w:rsidRDefault="00757F1F" w:rsidP="00757F1F">
      <w:pPr>
        <w:jc w:val="both"/>
      </w:pPr>
    </w:p>
    <w:tbl>
      <w:tblPr>
        <w:tblW w:w="0" w:type="auto"/>
        <w:tblLook w:val="04A0"/>
      </w:tblPr>
      <w:tblGrid>
        <w:gridCol w:w="5600"/>
        <w:gridCol w:w="1917"/>
        <w:gridCol w:w="1530"/>
      </w:tblGrid>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757F1F"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757F1F" w:rsidRPr="00526F7B" w:rsidRDefault="00757F1F"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757F1F" w:rsidRPr="00526F7B" w:rsidRDefault="00757F1F" w:rsidP="00757F1F">
      <w:pPr>
        <w:jc w:val="both"/>
      </w:pPr>
    </w:p>
    <w:p w:rsidR="00757F1F" w:rsidRPr="00526F7B" w:rsidRDefault="00757F1F" w:rsidP="00757F1F">
      <w:pPr>
        <w:pStyle w:val="Caption"/>
        <w:keepNext/>
        <w:jc w:val="center"/>
        <w:rPr>
          <w:color w:val="auto"/>
        </w:rPr>
      </w:pPr>
      <w:r w:rsidRPr="00526F7B">
        <w:rPr>
          <w:color w:val="auto"/>
        </w:rPr>
        <w:t xml:space="preserve">Table </w:t>
      </w:r>
      <w:r w:rsidR="00656AAD" w:rsidRPr="00526F7B">
        <w:rPr>
          <w:color w:val="auto"/>
        </w:rPr>
        <w:fldChar w:fldCharType="begin"/>
      </w:r>
      <w:r w:rsidRPr="00526F7B">
        <w:rPr>
          <w:color w:val="auto"/>
        </w:rPr>
        <w:instrText xml:space="preserve"> SEQ Table \* ARABIC </w:instrText>
      </w:r>
      <w:r w:rsidR="00656AAD" w:rsidRPr="00526F7B">
        <w:rPr>
          <w:color w:val="auto"/>
        </w:rPr>
        <w:fldChar w:fldCharType="separate"/>
      </w:r>
      <w:r>
        <w:rPr>
          <w:noProof/>
          <w:color w:val="auto"/>
        </w:rPr>
        <w:t>1</w:t>
      </w:r>
      <w:r w:rsidR="00656AAD"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757F1F" w:rsidRPr="00526F7B" w:rsidRDefault="00757F1F" w:rsidP="00757F1F">
      <w:pPr>
        <w:jc w:val="both"/>
      </w:pPr>
      <w:r w:rsidRPr="00526F7B">
        <w:t>Beyond NDT, the SimCoach project, also developed at ICT, hypothesized that users would be more willing to trust and interact on a personal level with a virtual avatar than with another human. The reason for this is that an intera</w:t>
      </w:r>
      <w:r w:rsidRPr="00526F7B">
        <w:t>c</w:t>
      </w:r>
      <w:r w:rsidRPr="00526F7B">
        <w:t>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w:t>
      </w:r>
      <w:r w:rsidRPr="00526F7B">
        <w:t>g</w:t>
      </w:r>
      <w:r w:rsidRPr="00526F7B">
        <w:t xml:space="preserve">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757F1F" w:rsidRPr="00526F7B" w:rsidRDefault="00757F1F" w:rsidP="00757F1F">
      <w:pPr>
        <w:jc w:val="both"/>
      </w:pPr>
    </w:p>
    <w:p w:rsidR="00757F1F" w:rsidRPr="00526F7B" w:rsidRDefault="00757F1F" w:rsidP="00757F1F">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w:t>
      </w:r>
      <w:r w:rsidRPr="00526F7B">
        <w:t>o</w:t>
      </w:r>
      <w:r w:rsidRPr="00526F7B">
        <w:t xml:space="preserve">priate feedback. </w:t>
      </w:r>
    </w:p>
    <w:p w:rsidR="00757F1F" w:rsidRPr="00526F7B" w:rsidRDefault="00757F1F" w:rsidP="00757F1F">
      <w:pPr>
        <w:jc w:val="both"/>
      </w:pPr>
    </w:p>
    <w:p w:rsidR="00757F1F" w:rsidRPr="00526F7B" w:rsidRDefault="00757F1F" w:rsidP="00757F1F">
      <w:pPr>
        <w:jc w:val="both"/>
      </w:pPr>
      <w:r w:rsidRPr="00526F7B">
        <w:t>Because such classifiers determine the probabilities that each response matches the given input, choosing the r</w:t>
      </w:r>
      <w:r w:rsidRPr="00526F7B">
        <w:t>e</w:t>
      </w:r>
      <w:r w:rsidRPr="00526F7B">
        <w:t>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w:t>
      </w:r>
      <w:r w:rsidRPr="00526F7B">
        <w:t>o</w:t>
      </w:r>
      <w:r w:rsidRPr="00526F7B">
        <w:t>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w:t>
      </w:r>
      <w:r w:rsidRPr="00526F7B">
        <w:t>t</w:t>
      </w:r>
      <w:r w:rsidRPr="00526F7B">
        <w:t xml:space="preserve">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757F1F" w:rsidRPr="00526F7B" w:rsidRDefault="00757F1F" w:rsidP="00757F1F">
      <w:pPr>
        <w:jc w:val="both"/>
      </w:pP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Operational Vision</w:t>
      </w:r>
    </w:p>
    <w:p w:rsidR="00757F1F" w:rsidRPr="00526F7B" w:rsidRDefault="00757F1F" w:rsidP="00757F1F">
      <w:pPr>
        <w:jc w:val="both"/>
      </w:pPr>
      <w:r w:rsidRPr="00526F7B">
        <w:t>The authors’ vision of the operation of such a system is certain to evolve significantly as subject matter experts pr</w:t>
      </w:r>
      <w:r w:rsidRPr="00526F7B">
        <w:t>o</w:t>
      </w:r>
      <w:r w:rsidRPr="00526F7B">
        <w:t>vide input and as development progresses.  Nevertheless, it may be useful to outline the current vision as it is pe</w:t>
      </w:r>
      <w:r w:rsidRPr="00526F7B">
        <w:t>r</w:t>
      </w:r>
      <w:r w:rsidRPr="00526F7B">
        <w:t xml:space="preserve">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w:t>
      </w:r>
      <w:r w:rsidRPr="00526F7B">
        <w:lastRenderedPageBreak/>
        <w:t>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w:t>
      </w:r>
      <w:r w:rsidRPr="00526F7B">
        <w:t>m</w:t>
      </w:r>
      <w:r w:rsidRPr="00526F7B">
        <w:t xml:space="preserve">mand personnel, as appropriate. </w:t>
      </w:r>
    </w:p>
    <w:p w:rsidR="00757F1F" w:rsidRPr="00526F7B" w:rsidRDefault="00757F1F" w:rsidP="00757F1F">
      <w:pPr>
        <w:jc w:val="both"/>
      </w:pPr>
    </w:p>
    <w:p w:rsidR="00757F1F" w:rsidRPr="00526F7B" w:rsidRDefault="00757F1F" w:rsidP="00757F1F">
      <w:pPr>
        <w:jc w:val="both"/>
      </w:pPr>
      <w:r w:rsidRPr="00526F7B">
        <w:t>Thereafter, whenever the users log in, they would be presented with the continuation of the lesson, exercise or t</w:t>
      </w:r>
      <w:r w:rsidRPr="00526F7B">
        <w:t>u</w:t>
      </w:r>
      <w:r w:rsidRPr="00526F7B">
        <w:t>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w:t>
      </w:r>
      <w:r w:rsidRPr="00526F7B">
        <w:t>r</w:t>
      </w:r>
      <w:r w:rsidRPr="00526F7B">
        <w:t xml:space="preserve">mined.  </w:t>
      </w:r>
    </w:p>
    <w:p w:rsidR="00757F1F" w:rsidRPr="00526F7B" w:rsidRDefault="00757F1F" w:rsidP="00757F1F">
      <w:pPr>
        <w:jc w:val="both"/>
      </w:pPr>
    </w:p>
    <w:p w:rsidR="00757F1F" w:rsidRPr="00526F7B" w:rsidRDefault="00757F1F" w:rsidP="00757F1F">
      <w:pPr>
        <w:jc w:val="both"/>
      </w:pPr>
      <w:r w:rsidRPr="00526F7B">
        <w:t>At the end of a fairly substantial introductory exposition of Critical Thinking concepts, the users would receive the first of a series of modules designed to highlight and improve individual skills needed for Critical Thinking e</w:t>
      </w:r>
      <w:r w:rsidRPr="00526F7B">
        <w:t>n</w:t>
      </w:r>
      <w:r w:rsidRPr="00526F7B">
        <w:t>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w:t>
      </w:r>
      <w:r w:rsidRPr="00526F7B">
        <w:t>s</w:t>
      </w:r>
      <w:r w:rsidRPr="00526F7B">
        <w:t xml:space="preserve">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757F1F" w:rsidRPr="00526F7B" w:rsidRDefault="00757F1F" w:rsidP="00757F1F">
      <w:pPr>
        <w:jc w:val="both"/>
      </w:pPr>
    </w:p>
    <w:p w:rsidR="00757F1F" w:rsidRPr="00526F7B" w:rsidRDefault="00757F1F" w:rsidP="00757F1F">
      <w:pPr>
        <w:jc w:val="both"/>
      </w:pPr>
      <w:r w:rsidRPr="00526F7B">
        <w:t>This process would be repeated until all of the skills areas in both critical thinking and meta-cognition had been mastered to a level acceptable to the system monitors.  The levels would be adequately identified so users could r</w:t>
      </w:r>
      <w:r w:rsidRPr="00526F7B">
        <w:t>e</w:t>
      </w:r>
      <w:r w:rsidRPr="00526F7B">
        <w:t xml:space="preserve">quest additional or brush-up work in any area they or their command thought appropriate.  </w:t>
      </w:r>
    </w:p>
    <w:p w:rsidR="00757F1F" w:rsidRPr="00526F7B" w:rsidRDefault="00757F1F" w:rsidP="00757F1F">
      <w:pPr>
        <w:jc w:val="both"/>
      </w:pPr>
    </w:p>
    <w:p w:rsidR="00757F1F" w:rsidRPr="00526F7B" w:rsidRDefault="00757F1F" w:rsidP="00757F1F">
      <w:pPr>
        <w:jc w:val="both"/>
      </w:pPr>
      <w:r w:rsidRPr="00526F7B">
        <w:t xml:space="preserve">When mastery levels indicated an over-all competency, the modules would begin to focus on a synthesis of all the skills in an operational setting, albeit a simulated one.  </w:t>
      </w:r>
    </w:p>
    <w:p w:rsidR="00757F1F" w:rsidRPr="00526F7B" w:rsidRDefault="00757F1F" w:rsidP="00757F1F">
      <w:pPr>
        <w:jc w:val="both"/>
      </w:pPr>
    </w:p>
    <w:p w:rsidR="00757F1F" w:rsidRPr="00526F7B" w:rsidRDefault="00757F1F" w:rsidP="00757F1F">
      <w:pPr>
        <w:jc w:val="both"/>
      </w:pPr>
      <w:r w:rsidRPr="00526F7B">
        <w:t>At each level, feedback to the users and to others in need of the data would be compared to other users with similar career positions.  External evaluation marks from the user’s service record could be input and compared with m</w:t>
      </w:r>
      <w:r w:rsidRPr="00526F7B">
        <w:t>a</w:t>
      </w:r>
      <w:r w:rsidRPr="00526F7B">
        <w:t>chine generated results from participation in this program and any discrepancy alarmed so command and system personnel could rationalize the dichotomy and make corrections or take action as required.</w:t>
      </w:r>
    </w:p>
    <w:p w:rsidR="00757F1F" w:rsidRPr="00526F7B" w:rsidRDefault="00757F1F" w:rsidP="00757F1F">
      <w:pPr>
        <w:jc w:val="both"/>
      </w:pPr>
    </w:p>
    <w:p w:rsidR="00757F1F" w:rsidRPr="00526F7B" w:rsidRDefault="00757F1F" w:rsidP="00757F1F">
      <w:pPr>
        <w:jc w:val="both"/>
      </w:pPr>
      <w:r w:rsidRPr="00526F7B">
        <w:t>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w:t>
      </w:r>
      <w:r w:rsidRPr="00526F7B">
        <w:t>d</w:t>
      </w:r>
      <w:r w:rsidRPr="00526F7B">
        <w:t xml:space="preserve">vancement.  </w:t>
      </w:r>
    </w:p>
    <w:p w:rsidR="00757F1F" w:rsidRPr="00526F7B" w:rsidRDefault="00757F1F" w:rsidP="00757F1F">
      <w:pPr>
        <w:jc w:val="both"/>
      </w:pPr>
    </w:p>
    <w:p w:rsidR="00757F1F" w:rsidRPr="00526F7B" w:rsidRDefault="00757F1F" w:rsidP="00757F1F">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757F1F" w:rsidRPr="00526F7B" w:rsidRDefault="00757F1F" w:rsidP="00757F1F">
      <w:pPr>
        <w:jc w:val="both"/>
      </w:pPr>
    </w:p>
    <w:p w:rsidR="00757F1F" w:rsidRPr="00526F7B" w:rsidRDefault="00757F1F" w:rsidP="00757F1F">
      <w:pPr>
        <w:jc w:val="both"/>
      </w:pPr>
      <w:r w:rsidRPr="00526F7B">
        <w:t>Deep learning is currently used effectively in image recognition and natural language processing.  The use of Grap</w:t>
      </w:r>
      <w:r w:rsidRPr="00526F7B">
        <w:t>h</w:t>
      </w:r>
      <w:r w:rsidRPr="00526F7B">
        <w:t xml:space="preserve">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2010) The comb</w:t>
      </w:r>
      <w:r w:rsidRPr="00526F7B">
        <w:t>i</w:t>
      </w:r>
      <w:r w:rsidRPr="00526F7B">
        <w:t xml:space="preserve">nation of this technology with emerging quantum computing capabilities (Lucas </w:t>
      </w:r>
      <w:r w:rsidRPr="00526F7B">
        <w:rPr>
          <w:i/>
        </w:rPr>
        <w:t>et al.,</w:t>
      </w:r>
      <w:r w:rsidRPr="00526F7B">
        <w:t xml:space="preserve"> 2015) is also an intriguing new area of research.</w:t>
      </w:r>
    </w:p>
    <w:p w:rsidR="00757F1F" w:rsidRPr="00526F7B" w:rsidRDefault="00757F1F" w:rsidP="00757F1F">
      <w:pPr>
        <w:jc w:val="both"/>
      </w:pPr>
    </w:p>
    <w:p w:rsidR="00757F1F" w:rsidRPr="00526F7B" w:rsidRDefault="00757F1F" w:rsidP="00757F1F">
      <w:pPr>
        <w:jc w:val="both"/>
      </w:pPr>
      <w:r w:rsidRPr="00526F7B">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757F1F" w:rsidRPr="00526F7B" w:rsidRDefault="00757F1F" w:rsidP="00757F1F">
      <w:pPr>
        <w:jc w:val="both"/>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Conclusions</w:t>
      </w:r>
    </w:p>
    <w:p w:rsidR="00757F1F" w:rsidRPr="00526F7B" w:rsidRDefault="00757F1F" w:rsidP="00757F1F">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w:t>
      </w:r>
      <w:r w:rsidRPr="00526F7B">
        <w:lastRenderedPageBreak/>
        <w:t xml:space="preserve">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757F1F" w:rsidRPr="00526F7B" w:rsidRDefault="00757F1F" w:rsidP="00757F1F">
      <w:pPr>
        <w:spacing w:after="200" w:line="276" w:lineRule="auto"/>
        <w:rPr>
          <w:b/>
        </w:rPr>
      </w:pPr>
    </w:p>
    <w:p w:rsidR="00757F1F" w:rsidRPr="00526F7B" w:rsidRDefault="00757F1F" w:rsidP="00757F1F">
      <w:pPr>
        <w:pStyle w:val="CritThnHd"/>
        <w:rPr>
          <w:rFonts w:ascii="Times New Roman" w:hAnsi="Times New Roman" w:cs="Times New Roman"/>
        </w:rPr>
      </w:pPr>
      <w:r w:rsidRPr="00526F7B">
        <w:rPr>
          <w:rFonts w:ascii="Times New Roman" w:hAnsi="Times New Roman" w:cs="Times New Roman"/>
        </w:rPr>
        <w:t>References</w:t>
      </w:r>
    </w:p>
    <w:p w:rsidR="00757F1F" w:rsidRPr="00526F7B" w:rsidRDefault="00757F1F" w:rsidP="00757F1F">
      <w:pPr>
        <w:ind w:right="180"/>
        <w:jc w:val="both"/>
      </w:pP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w:t>
      </w:r>
      <w:r w:rsidRPr="00526F7B">
        <w:rPr>
          <w:rFonts w:ascii="Times New Roman" w:hAnsi="Times New Roman" w:cs="Times New Roman"/>
          <w:i/>
        </w:rPr>
        <w:t>a</w:t>
      </w:r>
      <w:r w:rsidRPr="00526F7B">
        <w:rPr>
          <w:rFonts w:ascii="Times New Roman" w:hAnsi="Times New Roman" w:cs="Times New Roman"/>
          <w:i/>
        </w:rPr>
        <w:t>tion Today</w:t>
      </w:r>
      <w:r w:rsidRPr="00526F7B">
        <w:rPr>
          <w:rFonts w:ascii="Times New Roman" w:hAnsi="Times New Roman" w:cs="Times New Roman"/>
        </w:rPr>
        <w:t>, 40, 209-218.</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Davis, L. K., Curiel, J., &amp; Davis, D. M., (2010), HITL and Metacognition: Self Analysis and Leadership E</w:t>
      </w:r>
      <w:r w:rsidRPr="00526F7B">
        <w:rPr>
          <w:rFonts w:ascii="Times New Roman" w:hAnsi="Times New Roman" w:cs="Times New Roman"/>
        </w:rPr>
        <w:t>n</w:t>
      </w:r>
      <w:r w:rsidRPr="00526F7B">
        <w:rPr>
          <w:rFonts w:ascii="Times New Roman" w:hAnsi="Times New Roman" w:cs="Times New Roman"/>
        </w:rPr>
        <w:t xml:space="preserve">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757F1F" w:rsidRPr="00526F7B" w:rsidRDefault="00757F1F" w:rsidP="00757F1F">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757F1F" w:rsidRPr="00526F7B" w:rsidRDefault="00757F1F" w:rsidP="00757F1F">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w:t>
      </w:r>
      <w:r w:rsidRPr="00526F7B">
        <w:rPr>
          <w:rFonts w:ascii="Times New Roman" w:hAnsi="Times New Roman" w:cs="Times New Roman"/>
          <w:i/>
        </w:rPr>
        <w:t>a</w:t>
      </w:r>
      <w:r w:rsidRPr="00526F7B">
        <w:rPr>
          <w:rFonts w:ascii="Times New Roman" w:hAnsi="Times New Roman" w:cs="Times New Roman"/>
          <w:i/>
        </w:rPr>
        <w:t>tional leadership.</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Garrison, D. R., Anderson, T., &amp; Archer, W. (2001). Critical thinking, cognitive presence, and computer conf</w:t>
      </w:r>
      <w:r w:rsidRPr="00526F7B">
        <w:rPr>
          <w:rFonts w:ascii="Times New Roman" w:hAnsi="Times New Roman" w:cs="Times New Roman"/>
        </w:rPr>
        <w:t>e</w:t>
      </w:r>
      <w:r w:rsidRPr="00526F7B">
        <w:rPr>
          <w:rFonts w:ascii="Times New Roman" w:hAnsi="Times New Roman" w:cs="Times New Roman"/>
        </w:rPr>
        <w:t xml:space="preserv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w:t>
      </w:r>
      <w:r w:rsidRPr="00526F7B">
        <w:rPr>
          <w:rFonts w:ascii="Times New Roman" w:hAnsi="Times New Roman" w:cs="Times New Roman"/>
          <w:i/>
        </w:rPr>
        <w:t>i</w:t>
      </w:r>
      <w:r w:rsidRPr="00526F7B">
        <w:rPr>
          <w:rFonts w:ascii="Times New Roman" w:hAnsi="Times New Roman" w:cs="Times New Roman"/>
          <w:i/>
        </w:rPr>
        <w:t>buted Simulations and Real Time Applications 2010 Conference</w:t>
      </w:r>
      <w:r w:rsidRPr="00526F7B">
        <w:rPr>
          <w:rFonts w:ascii="Times New Roman" w:hAnsi="Times New Roman" w:cs="Times New Roman"/>
        </w:rPr>
        <w:t>, Fairfax, Virginia</w:t>
      </w:r>
    </w:p>
    <w:p w:rsidR="00757F1F" w:rsidRPr="00526F7B" w:rsidRDefault="00757F1F" w:rsidP="00757F1F">
      <w:pPr>
        <w:pStyle w:val="CritThnRef"/>
        <w:ind w:right="0"/>
        <w:rPr>
          <w:rFonts w:ascii="Times New Roman" w:hAnsi="Times New Roman" w:cs="Times New Roman"/>
        </w:rPr>
      </w:pPr>
      <w:r w:rsidRPr="00B70367">
        <w:rPr>
          <w:rFonts w:ascii="Times New Roman" w:hAnsi="Times New Roman" w:cs="Times New Roman"/>
        </w:rPr>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Halpern, D. F. (1998). Teaching critical thinking for transfer across domains: Disposition, skills, structure trai</w:t>
      </w:r>
      <w:r w:rsidRPr="00526F7B">
        <w:rPr>
          <w:rFonts w:ascii="Times New Roman" w:hAnsi="Times New Roman" w:cs="Times New Roman"/>
        </w:rPr>
        <w:t>n</w:t>
      </w:r>
      <w:r w:rsidRPr="00526F7B">
        <w:rPr>
          <w:rFonts w:ascii="Times New Roman" w:hAnsi="Times New Roman" w:cs="Times New Roman"/>
        </w:rPr>
        <w:t xml:space="preserve">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lastRenderedPageBreak/>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757F1F" w:rsidRDefault="00757F1F" w:rsidP="00757F1F">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757F1F" w:rsidRPr="00526F7B" w:rsidRDefault="00757F1F" w:rsidP="00757F1F">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w:t>
      </w:r>
      <w:r w:rsidRPr="00526F7B">
        <w:rPr>
          <w:rFonts w:ascii="Times New Roman" w:hAnsi="Times New Roman" w:cs="Times New Roman"/>
          <w:i/>
        </w:rPr>
        <w:t>g</w:t>
      </w:r>
      <w:r w:rsidRPr="00526F7B">
        <w:rPr>
          <w:rFonts w:ascii="Times New Roman" w:hAnsi="Times New Roman" w:cs="Times New Roman"/>
          <w:i/>
        </w:rPr>
        <w:t>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Lehman, D. R., &amp; Nisbett, R. E. (1990). A Longitudinal Study of the Effects of Undergraduate Training on Re</w:t>
      </w:r>
      <w:r w:rsidRPr="00526F7B">
        <w:rPr>
          <w:rFonts w:ascii="Times New Roman" w:hAnsi="Times New Roman" w:cs="Times New Roman"/>
        </w:rPr>
        <w:t>a</w:t>
      </w:r>
      <w:r w:rsidRPr="00526F7B">
        <w:rPr>
          <w:rFonts w:ascii="Times New Roman" w:hAnsi="Times New Roman" w:cs="Times New Roman"/>
        </w:rPr>
        <w:t xml:space="preserve">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Lucas, Gale M., Gratch, J., King, A. and Morency, L.-P. (2014). "It’s Only a Computer: Virtual Humans I</w:t>
      </w:r>
      <w:r w:rsidRPr="00526F7B">
        <w:rPr>
          <w:rFonts w:ascii="Times New Roman" w:hAnsi="Times New Roman" w:cs="Times New Roman"/>
        </w:rPr>
        <w:t>n</w:t>
      </w:r>
      <w:r w:rsidRPr="00526F7B">
        <w:rPr>
          <w:rFonts w:ascii="Times New Roman" w:hAnsi="Times New Roman" w:cs="Times New Roman"/>
        </w:rPr>
        <w:t xml:space="preserve">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757F1F"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757F1F" w:rsidRPr="00526F7B" w:rsidRDefault="00757F1F" w:rsidP="00757F1F">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Page 87. R</w:t>
      </w:r>
      <w:r w:rsidRPr="00526F7B">
        <w:rPr>
          <w:rFonts w:ascii="Times New Roman" w:hAnsi="Times New Roman" w:cs="Times New Roman"/>
        </w:rPr>
        <w:t>e</w:t>
      </w:r>
      <w:r w:rsidRPr="00526F7B">
        <w:rPr>
          <w:rFonts w:ascii="Times New Roman" w:hAnsi="Times New Roman" w:cs="Times New Roman"/>
        </w:rPr>
        <w:t xml:space="preserv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Reger, G. M., Rizzo, A. A., &amp; Gahm, G. A. (2015). Initial Development and Dissemination of Virtual Reality E</w:t>
      </w:r>
      <w:r w:rsidRPr="00526F7B">
        <w:rPr>
          <w:rFonts w:ascii="Times New Roman" w:hAnsi="Times New Roman" w:cs="Times New Roman"/>
        </w:rPr>
        <w:t>x</w:t>
      </w:r>
      <w:r w:rsidRPr="00526F7B">
        <w:rPr>
          <w:rFonts w:ascii="Times New Roman" w:hAnsi="Times New Roman" w:cs="Times New Roman"/>
        </w:rPr>
        <w:t xml:space="preserve">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757F1F" w:rsidRPr="00526F7B" w:rsidRDefault="00757F1F" w:rsidP="00757F1F">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757F1F" w:rsidRDefault="00757F1F" w:rsidP="00757F1F">
      <w:pPr>
        <w:pStyle w:val="CritThnRef"/>
        <w:rPr>
          <w:rFonts w:ascii="Times New Roman" w:hAnsi="Times New Roman" w:cs="Times New Roman"/>
        </w:rPr>
      </w:pPr>
      <w:r w:rsidRPr="00526F7B">
        <w:rPr>
          <w:rFonts w:ascii="Times New Roman" w:hAnsi="Times New Roman" w:cs="Times New Roman"/>
        </w:rPr>
        <w:t>Williams, R. T., &amp; Morrison, J. S. (1968). Greek Oared Ships: 900-322 BC, University Press.</w:t>
      </w:r>
    </w:p>
    <w:p w:rsidR="00757F1F" w:rsidRPr="00526F7B" w:rsidRDefault="00757F1F" w:rsidP="00757F1F">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757F1F" w:rsidRPr="00526F7B" w:rsidRDefault="00757F1F" w:rsidP="00757F1F">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w:t>
      </w:r>
      <w:r w:rsidRPr="00526F7B">
        <w:rPr>
          <w:rFonts w:ascii="Times New Roman" w:hAnsi="Times New Roman" w:cs="Times New Roman"/>
          <w:i/>
        </w:rPr>
        <w:t>n</w:t>
      </w:r>
      <w:r w:rsidRPr="00526F7B">
        <w:rPr>
          <w:rFonts w:ascii="Times New Roman" w:hAnsi="Times New Roman" w:cs="Times New Roman"/>
          <w:i/>
        </w:rPr>
        <w:t>ment Technology</w:t>
      </w:r>
      <w:r w:rsidRPr="00526F7B">
        <w:rPr>
          <w:rFonts w:ascii="Times New Roman" w:hAnsi="Times New Roman" w:cs="Times New Roman"/>
        </w:rPr>
        <w:t xml:space="preserve"> (pp. 49-55). ACM. </w:t>
      </w:r>
    </w:p>
    <w:p w:rsidR="00757F1F" w:rsidRDefault="00757F1F" w:rsidP="009C2C74">
      <w:pPr>
        <w:spacing w:before="120"/>
        <w:jc w:val="both"/>
      </w:pPr>
    </w:p>
    <w:sectPr w:rsidR="00757F1F" w:rsidSect="004B4C30">
      <w:headerReference w:type="default" r:id="rId16"/>
      <w:footerReference w:type="default" r:id="rId17"/>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557" w:rsidRDefault="007A7557" w:rsidP="004B4C30">
      <w:r>
        <w:separator/>
      </w:r>
    </w:p>
  </w:endnote>
  <w:endnote w:type="continuationSeparator" w:id="1">
    <w:p w:rsidR="007A7557" w:rsidRDefault="007A7557"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656AAD">
      <w:rPr>
        <w:i/>
        <w:sz w:val="18"/>
        <w:szCs w:val="18"/>
      </w:rPr>
      <w:fldChar w:fldCharType="begin"/>
    </w:r>
    <w:r>
      <w:rPr>
        <w:i/>
        <w:sz w:val="18"/>
        <w:szCs w:val="18"/>
      </w:rPr>
      <w:instrText>PAGE</w:instrText>
    </w:r>
    <w:r w:rsidR="00656AAD">
      <w:rPr>
        <w:i/>
        <w:sz w:val="18"/>
        <w:szCs w:val="18"/>
      </w:rPr>
      <w:fldChar w:fldCharType="separate"/>
    </w:r>
    <w:r w:rsidR="00634B64">
      <w:rPr>
        <w:i/>
        <w:noProof/>
        <w:sz w:val="18"/>
        <w:szCs w:val="18"/>
      </w:rPr>
      <w:t>1</w:t>
    </w:r>
    <w:r w:rsidR="00656AAD">
      <w:rPr>
        <w:i/>
        <w:sz w:val="18"/>
        <w:szCs w:val="18"/>
      </w:rPr>
      <w:fldChar w:fldCharType="end"/>
    </w:r>
    <w:r>
      <w:rPr>
        <w:i/>
        <w:sz w:val="18"/>
        <w:szCs w:val="18"/>
      </w:rPr>
      <w:t xml:space="preserve"> of </w:t>
    </w:r>
    <w:r w:rsidR="00656AAD">
      <w:rPr>
        <w:i/>
        <w:sz w:val="18"/>
        <w:szCs w:val="18"/>
      </w:rPr>
      <w:fldChar w:fldCharType="begin"/>
    </w:r>
    <w:r>
      <w:rPr>
        <w:i/>
        <w:sz w:val="18"/>
        <w:szCs w:val="18"/>
      </w:rPr>
      <w:instrText>NUMPAGES</w:instrText>
    </w:r>
    <w:r w:rsidR="00656AAD">
      <w:rPr>
        <w:i/>
        <w:sz w:val="18"/>
        <w:szCs w:val="18"/>
      </w:rPr>
      <w:fldChar w:fldCharType="separate"/>
    </w:r>
    <w:r w:rsidR="00634B64">
      <w:rPr>
        <w:i/>
        <w:noProof/>
        <w:sz w:val="18"/>
        <w:szCs w:val="18"/>
      </w:rPr>
      <w:t>13</w:t>
    </w:r>
    <w:r w:rsidR="00656AA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557" w:rsidRDefault="007A7557" w:rsidP="004B4C30">
      <w:r>
        <w:separator/>
      </w:r>
    </w:p>
  </w:footnote>
  <w:footnote w:type="continuationSeparator" w:id="1">
    <w:p w:rsidR="007A7557" w:rsidRDefault="007A7557"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2B56FD"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autoHyphenation/>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B56FD"/>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7B47"/>
    <w:rsid w:val="00383417"/>
    <w:rsid w:val="003836A8"/>
    <w:rsid w:val="0038507A"/>
    <w:rsid w:val="00391461"/>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86258"/>
    <w:rsid w:val="00491746"/>
    <w:rsid w:val="004A2671"/>
    <w:rsid w:val="004A4D6A"/>
    <w:rsid w:val="004A5AC4"/>
    <w:rsid w:val="004B2E2D"/>
    <w:rsid w:val="004B37CB"/>
    <w:rsid w:val="004B4C30"/>
    <w:rsid w:val="004B5A23"/>
    <w:rsid w:val="004B7174"/>
    <w:rsid w:val="004C6106"/>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4B64"/>
    <w:rsid w:val="00635719"/>
    <w:rsid w:val="0063736A"/>
    <w:rsid w:val="006407BE"/>
    <w:rsid w:val="006412A1"/>
    <w:rsid w:val="00650045"/>
    <w:rsid w:val="0065453C"/>
    <w:rsid w:val="0065526D"/>
    <w:rsid w:val="006561AE"/>
    <w:rsid w:val="00656AAD"/>
    <w:rsid w:val="00657115"/>
    <w:rsid w:val="00657830"/>
    <w:rsid w:val="00661731"/>
    <w:rsid w:val="006720BF"/>
    <w:rsid w:val="00672D95"/>
    <w:rsid w:val="00672EFA"/>
    <w:rsid w:val="00685B3C"/>
    <w:rsid w:val="00696812"/>
    <w:rsid w:val="006B6B82"/>
    <w:rsid w:val="006C05BC"/>
    <w:rsid w:val="006C12E0"/>
    <w:rsid w:val="006C46E4"/>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57F1F"/>
    <w:rsid w:val="00761360"/>
    <w:rsid w:val="0076474B"/>
    <w:rsid w:val="0076558F"/>
    <w:rsid w:val="007662F8"/>
    <w:rsid w:val="0077002A"/>
    <w:rsid w:val="007701ED"/>
    <w:rsid w:val="007748EC"/>
    <w:rsid w:val="007752E5"/>
    <w:rsid w:val="00775BE9"/>
    <w:rsid w:val="00783A6E"/>
    <w:rsid w:val="00785184"/>
    <w:rsid w:val="007865F9"/>
    <w:rsid w:val="007A0A0A"/>
    <w:rsid w:val="007A7557"/>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C6799"/>
    <w:rsid w:val="00AD4337"/>
    <w:rsid w:val="00AD7F03"/>
    <w:rsid w:val="00AE1411"/>
    <w:rsid w:val="00AE1A0F"/>
    <w:rsid w:val="00AE5011"/>
    <w:rsid w:val="00AE68E3"/>
    <w:rsid w:val="00AF6425"/>
    <w:rsid w:val="00B06D59"/>
    <w:rsid w:val="00B07447"/>
    <w:rsid w:val="00B074A6"/>
    <w:rsid w:val="00B25829"/>
    <w:rsid w:val="00B26BE0"/>
    <w:rsid w:val="00B3524D"/>
    <w:rsid w:val="00B4057D"/>
    <w:rsid w:val="00B4670B"/>
    <w:rsid w:val="00B623F2"/>
    <w:rsid w:val="00B66D41"/>
    <w:rsid w:val="00B70B91"/>
    <w:rsid w:val="00B730B4"/>
    <w:rsid w:val="00B749D5"/>
    <w:rsid w:val="00B75429"/>
    <w:rsid w:val="00B84C83"/>
    <w:rsid w:val="00B94C27"/>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5BB3"/>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0979"/>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table" w:styleId="TableGrid">
    <w:name w:val="Table Grid"/>
    <w:basedOn w:val="TableNormal"/>
    <w:uiPriority w:val="59"/>
    <w:rsid w:val="0075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757F1F"/>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757F1F"/>
    <w:rPr>
      <w:rFonts w:ascii="Garamond" w:eastAsiaTheme="minorHAnsi" w:hAnsi="Garamond" w:cstheme="minorBidi"/>
      <w:szCs w:val="22"/>
    </w:rPr>
  </w:style>
  <w:style w:type="paragraph" w:customStyle="1" w:styleId="CritThnHd">
    <w:name w:val="CritThnHd"/>
    <w:basedOn w:val="Normal"/>
    <w:link w:val="CritThnHdChar"/>
    <w:qFormat/>
    <w:rsid w:val="00757F1F"/>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757F1F"/>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757F1F"/>
    <w:rPr>
      <w:caps w:val="0"/>
    </w:rPr>
  </w:style>
  <w:style w:type="character" w:customStyle="1" w:styleId="CrtThnSubHdChar">
    <w:name w:val="CrtThnSubHd Char"/>
    <w:basedOn w:val="CritThnHdChar"/>
    <w:link w:val="CrtThnSubHd"/>
    <w:rsid w:val="00757F1F"/>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7E114-5195-48FA-825C-9D3DA6EA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8569</Words>
  <Characters>48848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2022-01-18T17:59:00Z</cp:lastPrinted>
  <dcterms:created xsi:type="dcterms:W3CDTF">2023-05-19T22:25:00Z</dcterms:created>
  <dcterms:modified xsi:type="dcterms:W3CDTF">2023-05-19T22:25:00Z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