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430" w:rsidRPr="00E07BF6" w:rsidRDefault="00300430" w:rsidP="00300430">
      <w:pPr>
        <w:pStyle w:val="Normal1"/>
        <w:jc w:val="center"/>
        <w:rPr>
          <w:rFonts w:eastAsia="Open Sans"/>
          <w:b/>
          <w:sz w:val="21"/>
          <w:szCs w:val="21"/>
        </w:rPr>
      </w:pPr>
    </w:p>
    <w:tbl>
      <w:tblPr>
        <w:tblW w:w="10390" w:type="dxa"/>
        <w:jc w:val="center"/>
        <w:tblLayout w:type="fixed"/>
        <w:tblLook w:val="0600"/>
      </w:tblPr>
      <w:tblGrid>
        <w:gridCol w:w="2585"/>
        <w:gridCol w:w="7805"/>
      </w:tblGrid>
      <w:tr w:rsidR="00300430" w:rsidRPr="007A60A6" w:rsidTr="000E198B">
        <w:trPr>
          <w:trHeight w:val="424"/>
          <w:jc w:val="center"/>
        </w:trPr>
        <w:tc>
          <w:tcPr>
            <w:tcW w:w="2585" w:type="dxa"/>
            <w:vMerge w:val="restart"/>
            <w:shd w:val="clear" w:color="auto" w:fill="auto"/>
            <w:tcMar>
              <w:top w:w="100" w:type="dxa"/>
              <w:left w:w="100" w:type="dxa"/>
              <w:bottom w:w="100" w:type="dxa"/>
              <w:right w:w="100" w:type="dxa"/>
            </w:tcMar>
          </w:tcPr>
          <w:p w:rsidR="00300430" w:rsidRPr="00E07BF6" w:rsidRDefault="00300430" w:rsidP="009E0913">
            <w:pPr>
              <w:pStyle w:val="Normal1"/>
              <w:keepNext/>
              <w:keepLines/>
              <w:spacing w:before="200"/>
              <w:outlineLvl w:val="7"/>
              <w:rPr>
                <w:rFonts w:eastAsia="Open Sans"/>
                <w:b/>
                <w:sz w:val="21"/>
                <w:szCs w:val="21"/>
              </w:rPr>
            </w:pPr>
            <w:r>
              <w:rPr>
                <w:rFonts w:eastAsia="Open Sans"/>
                <w:b/>
                <w:noProof/>
                <w:sz w:val="21"/>
                <w:szCs w:val="21"/>
              </w:rPr>
              <w:drawing>
                <wp:anchor distT="0" distB="0" distL="114300" distR="114300" simplePos="0" relativeHeight="251659264" behindDoc="0" locked="0" layoutInCell="1" allowOverlap="1">
                  <wp:simplePos x="0" y="0"/>
                  <wp:positionH relativeFrom="column">
                    <wp:posOffset>-73025</wp:posOffset>
                  </wp:positionH>
                  <wp:positionV relativeFrom="paragraph">
                    <wp:posOffset>128905</wp:posOffset>
                  </wp:positionV>
                  <wp:extent cx="1514475" cy="1502410"/>
                  <wp:effectExtent l="0" t="0" r="9525" b="0"/>
                  <wp:wrapSquare wrapText="bothSides"/>
                  <wp:docPr id="2" name="Picture 0" descr="CPU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U_Logo.png"/>
                          <pic:cNvPicPr/>
                        </pic:nvPicPr>
                        <pic:blipFill>
                          <a:blip r:embed="rId7" cstate="print"/>
                          <a:stretch>
                            <a:fillRect/>
                          </a:stretch>
                        </pic:blipFill>
                        <pic:spPr>
                          <a:xfrm>
                            <a:off x="0" y="0"/>
                            <a:ext cx="1514475" cy="1502410"/>
                          </a:xfrm>
                          <a:prstGeom prst="rect">
                            <a:avLst/>
                          </a:prstGeom>
                        </pic:spPr>
                      </pic:pic>
                    </a:graphicData>
                  </a:graphic>
                </wp:anchor>
              </w:drawing>
            </w:r>
            <w:bookmarkStart w:id="0" w:name="_gjdgxs" w:colFirst="0" w:colLast="0"/>
            <w:bookmarkEnd w:id="0"/>
          </w:p>
        </w:tc>
        <w:tc>
          <w:tcPr>
            <w:tcW w:w="7805" w:type="dxa"/>
            <w:tcMar>
              <w:top w:w="100" w:type="dxa"/>
              <w:left w:w="100" w:type="dxa"/>
              <w:bottom w:w="100" w:type="dxa"/>
              <w:right w:w="100" w:type="dxa"/>
            </w:tcMar>
          </w:tcPr>
          <w:p w:rsidR="00300430" w:rsidRPr="003F7DCA" w:rsidRDefault="00300430" w:rsidP="009E0913">
            <w:pPr>
              <w:pStyle w:val="Title"/>
              <w:ind w:firstLine="170"/>
              <w:rPr>
                <w:rFonts w:eastAsia="Open Sans"/>
                <w:color w:val="B8872B"/>
                <w:sz w:val="28"/>
                <w:szCs w:val="28"/>
              </w:rPr>
            </w:pPr>
            <w:bookmarkStart w:id="1" w:name="_30j0zll" w:colFirst="0" w:colLast="0"/>
            <w:bookmarkEnd w:id="1"/>
            <w:r>
              <w:rPr>
                <w:rFonts w:eastAsia="Open Sans"/>
                <w:color w:val="B8872B"/>
                <w:sz w:val="28"/>
                <w:szCs w:val="28"/>
              </w:rPr>
              <w:t>ENG503: Research Funding and Administration</w:t>
            </w:r>
          </w:p>
        </w:tc>
      </w:tr>
      <w:tr w:rsidR="00300430" w:rsidRPr="007A60A6" w:rsidTr="000E198B">
        <w:trPr>
          <w:trHeight w:val="339"/>
          <w:jc w:val="center"/>
        </w:trPr>
        <w:tc>
          <w:tcPr>
            <w:tcW w:w="2585" w:type="dxa"/>
            <w:vMerge/>
            <w:shd w:val="clear" w:color="auto" w:fill="auto"/>
            <w:tcMar>
              <w:top w:w="100" w:type="dxa"/>
              <w:left w:w="100" w:type="dxa"/>
              <w:bottom w:w="100" w:type="dxa"/>
              <w:right w:w="100" w:type="dxa"/>
            </w:tcMar>
          </w:tcPr>
          <w:p w:rsidR="00300430" w:rsidRPr="00E07BF6" w:rsidRDefault="00300430" w:rsidP="009E0913">
            <w:pPr>
              <w:pStyle w:val="Normal1"/>
              <w:rPr>
                <w:rFonts w:eastAsia="Open Sans"/>
                <w:b/>
                <w:sz w:val="21"/>
                <w:szCs w:val="21"/>
              </w:rPr>
            </w:pPr>
          </w:p>
        </w:tc>
        <w:tc>
          <w:tcPr>
            <w:tcW w:w="7805" w:type="dxa"/>
            <w:tcMar>
              <w:top w:w="100" w:type="dxa"/>
              <w:left w:w="100" w:type="dxa"/>
              <w:bottom w:w="100" w:type="dxa"/>
              <w:right w:w="100" w:type="dxa"/>
            </w:tcMar>
          </w:tcPr>
          <w:p w:rsidR="00300430" w:rsidRPr="00E07BF6" w:rsidRDefault="00300430" w:rsidP="009E0913">
            <w:pPr>
              <w:pStyle w:val="Normal1"/>
              <w:ind w:firstLine="170"/>
              <w:rPr>
                <w:rFonts w:eastAsia="Open Sans"/>
                <w:sz w:val="21"/>
                <w:szCs w:val="21"/>
              </w:rPr>
            </w:pPr>
            <w:r w:rsidRPr="00E07BF6">
              <w:rPr>
                <w:rFonts w:eastAsia="Open Sans"/>
                <w:b/>
                <w:sz w:val="21"/>
                <w:szCs w:val="21"/>
              </w:rPr>
              <w:t xml:space="preserve">Meeting Days, Times, Location: </w:t>
            </w:r>
            <w:r>
              <w:rPr>
                <w:rFonts w:eastAsia="Open Sans"/>
                <w:sz w:val="21"/>
                <w:szCs w:val="21"/>
              </w:rPr>
              <w:t>Mon, Wed, &amp; Fri; TBD PM, TBD location</w:t>
            </w:r>
          </w:p>
        </w:tc>
      </w:tr>
      <w:tr w:rsidR="00300430" w:rsidRPr="007A60A6" w:rsidTr="000E198B">
        <w:trPr>
          <w:trHeight w:val="339"/>
          <w:jc w:val="center"/>
        </w:trPr>
        <w:tc>
          <w:tcPr>
            <w:tcW w:w="2585" w:type="dxa"/>
            <w:vMerge/>
            <w:shd w:val="clear" w:color="auto" w:fill="auto"/>
            <w:tcMar>
              <w:top w:w="100" w:type="dxa"/>
              <w:left w:w="100" w:type="dxa"/>
              <w:bottom w:w="100" w:type="dxa"/>
              <w:right w:w="100" w:type="dxa"/>
            </w:tcMar>
          </w:tcPr>
          <w:p w:rsidR="00300430" w:rsidRPr="00E07BF6" w:rsidRDefault="00300430" w:rsidP="009E0913">
            <w:pPr>
              <w:pStyle w:val="Normal1"/>
              <w:rPr>
                <w:rFonts w:eastAsia="Open Sans"/>
                <w:b/>
                <w:sz w:val="21"/>
                <w:szCs w:val="21"/>
              </w:rPr>
            </w:pPr>
          </w:p>
        </w:tc>
        <w:tc>
          <w:tcPr>
            <w:tcW w:w="7805" w:type="dxa"/>
            <w:tcMar>
              <w:top w:w="100" w:type="dxa"/>
              <w:left w:w="100" w:type="dxa"/>
              <w:bottom w:w="100" w:type="dxa"/>
              <w:right w:w="100" w:type="dxa"/>
            </w:tcMar>
          </w:tcPr>
          <w:p w:rsidR="00300430" w:rsidRPr="00E07BF6" w:rsidRDefault="00300430" w:rsidP="009E0913">
            <w:pPr>
              <w:pStyle w:val="Normal1"/>
              <w:ind w:firstLine="170"/>
              <w:rPr>
                <w:rFonts w:eastAsia="Open Sans"/>
                <w:sz w:val="21"/>
                <w:szCs w:val="21"/>
              </w:rPr>
            </w:pPr>
            <w:r w:rsidRPr="00E07BF6">
              <w:rPr>
                <w:rFonts w:eastAsia="Open Sans"/>
                <w:b/>
                <w:sz w:val="21"/>
                <w:szCs w:val="21"/>
              </w:rPr>
              <w:t>Semester:</w:t>
            </w:r>
            <w:r>
              <w:rPr>
                <w:rFonts w:eastAsia="Open Sans"/>
                <w:sz w:val="21"/>
                <w:szCs w:val="21"/>
              </w:rPr>
              <w:t xml:space="preserve"> Fall term</w:t>
            </w:r>
            <w:r w:rsidRPr="00E07BF6">
              <w:rPr>
                <w:rFonts w:eastAsia="Open Sans"/>
                <w:b/>
                <w:sz w:val="21"/>
                <w:szCs w:val="21"/>
              </w:rPr>
              <w:t xml:space="preserve">, Year: </w:t>
            </w:r>
            <w:r>
              <w:rPr>
                <w:rFonts w:eastAsia="Open Sans"/>
                <w:sz w:val="21"/>
                <w:szCs w:val="21"/>
              </w:rPr>
              <w:t>Every year</w:t>
            </w:r>
          </w:p>
        </w:tc>
      </w:tr>
      <w:tr w:rsidR="00300430" w:rsidRPr="007A60A6" w:rsidTr="000E198B">
        <w:trPr>
          <w:trHeight w:val="552"/>
          <w:jc w:val="center"/>
        </w:trPr>
        <w:tc>
          <w:tcPr>
            <w:tcW w:w="2585" w:type="dxa"/>
            <w:vMerge/>
            <w:shd w:val="clear" w:color="auto" w:fill="auto"/>
            <w:tcMar>
              <w:top w:w="100" w:type="dxa"/>
              <w:left w:w="100" w:type="dxa"/>
              <w:bottom w:w="100" w:type="dxa"/>
              <w:right w:w="100" w:type="dxa"/>
            </w:tcMar>
          </w:tcPr>
          <w:p w:rsidR="00300430" w:rsidRPr="00E07BF6" w:rsidRDefault="00300430" w:rsidP="009E0913">
            <w:pPr>
              <w:pStyle w:val="Normal1"/>
              <w:rPr>
                <w:rFonts w:eastAsia="Open Sans"/>
                <w:b/>
                <w:sz w:val="21"/>
                <w:szCs w:val="21"/>
              </w:rPr>
            </w:pPr>
          </w:p>
        </w:tc>
        <w:tc>
          <w:tcPr>
            <w:tcW w:w="7805" w:type="dxa"/>
            <w:tcMar>
              <w:top w:w="100" w:type="dxa"/>
              <w:left w:w="100" w:type="dxa"/>
              <w:bottom w:w="100" w:type="dxa"/>
              <w:right w:w="100" w:type="dxa"/>
            </w:tcMar>
          </w:tcPr>
          <w:p w:rsidR="00300430" w:rsidRPr="00E07BF6" w:rsidRDefault="00300430" w:rsidP="009E0913">
            <w:pPr>
              <w:pStyle w:val="Normal1"/>
              <w:ind w:firstLine="170"/>
              <w:rPr>
                <w:rFonts w:eastAsia="Open Sans"/>
                <w:sz w:val="21"/>
                <w:szCs w:val="21"/>
              </w:rPr>
            </w:pPr>
            <w:r w:rsidRPr="00E07BF6">
              <w:rPr>
                <w:rFonts w:eastAsia="Open Sans"/>
                <w:b/>
                <w:sz w:val="21"/>
                <w:szCs w:val="21"/>
              </w:rPr>
              <w:t xml:space="preserve">Units: </w:t>
            </w:r>
            <w:r>
              <w:rPr>
                <w:rFonts w:eastAsia="Open Sans"/>
                <w:sz w:val="21"/>
                <w:szCs w:val="21"/>
              </w:rPr>
              <w:t>3 semester hours</w:t>
            </w:r>
            <w:r w:rsidRPr="00E07BF6">
              <w:rPr>
                <w:rFonts w:eastAsia="Open Sans"/>
                <w:b/>
                <w:sz w:val="21"/>
                <w:szCs w:val="21"/>
              </w:rPr>
              <w:t xml:space="preserve">, Section(s): </w:t>
            </w:r>
            <w:r>
              <w:rPr>
                <w:rFonts w:eastAsia="Open Sans"/>
                <w:sz w:val="21"/>
                <w:szCs w:val="21"/>
              </w:rPr>
              <w:t>One</w:t>
            </w:r>
          </w:p>
        </w:tc>
      </w:tr>
    </w:tbl>
    <w:p w:rsidR="00300430" w:rsidRPr="00E07BF6" w:rsidRDefault="00300430" w:rsidP="00300430">
      <w:pPr>
        <w:pStyle w:val="Normal1"/>
        <w:rPr>
          <w:rFonts w:eastAsia="Open Sans"/>
          <w:sz w:val="21"/>
          <w:szCs w:val="21"/>
        </w:rPr>
      </w:pPr>
    </w:p>
    <w:p w:rsidR="00300430" w:rsidRPr="003F7DCA" w:rsidRDefault="00300430" w:rsidP="00300430">
      <w:pPr>
        <w:pStyle w:val="Normal1"/>
        <w:ind w:left="180" w:hanging="180"/>
        <w:rPr>
          <w:rFonts w:eastAsia="Open Sans"/>
          <w:b/>
          <w:color w:val="B8872B"/>
          <w:sz w:val="18"/>
          <w:szCs w:val="18"/>
        </w:rPr>
      </w:pPr>
      <w:bookmarkStart w:id="2" w:name="_1fob9te" w:colFirst="0" w:colLast="0"/>
      <w:bookmarkEnd w:id="2"/>
      <w:r>
        <w:rPr>
          <w:rFonts w:eastAsia="Open Sans"/>
          <w:b/>
          <w:color w:val="B8872B"/>
          <w:sz w:val="18"/>
          <w:szCs w:val="18"/>
        </w:rPr>
        <w:t>Professo</w:t>
      </w:r>
      <w:r w:rsidRPr="003F7DCA">
        <w:rPr>
          <w:rFonts w:eastAsia="Open Sans"/>
          <w:b/>
          <w:color w:val="B8872B"/>
          <w:sz w:val="18"/>
          <w:szCs w:val="18"/>
        </w:rPr>
        <w:t xml:space="preserve">r </w:t>
      </w:r>
      <w:r>
        <w:rPr>
          <w:rFonts w:eastAsia="Open Sans"/>
          <w:b/>
          <w:color w:val="B8872B"/>
          <w:sz w:val="18"/>
          <w:szCs w:val="18"/>
        </w:rPr>
        <w:t>data</w:t>
      </w:r>
    </w:p>
    <w:tbl>
      <w:tblPr>
        <w:tblW w:w="10262" w:type="dxa"/>
        <w:tblInd w:w="280" w:type="dxa"/>
        <w:tblBorders>
          <w:insideH w:val="single" w:sz="4" w:space="0" w:color="000000"/>
        </w:tblBorders>
        <w:tblLayout w:type="fixed"/>
        <w:tblLook w:val="0600"/>
      </w:tblPr>
      <w:tblGrid>
        <w:gridCol w:w="2610"/>
        <w:gridCol w:w="7652"/>
      </w:tblGrid>
      <w:tr w:rsidR="00300430" w:rsidRPr="007A60A6" w:rsidTr="009E0913">
        <w:trPr>
          <w:trHeight w:val="270"/>
        </w:trPr>
        <w:tc>
          <w:tcPr>
            <w:tcW w:w="2610" w:type="dxa"/>
            <w:shd w:val="clear" w:color="auto" w:fill="FFFFFF"/>
            <w:tcMar>
              <w:top w:w="100" w:type="dxa"/>
              <w:left w:w="100" w:type="dxa"/>
              <w:bottom w:w="100" w:type="dxa"/>
              <w:right w:w="100" w:type="dxa"/>
            </w:tcMar>
          </w:tcPr>
          <w:p w:rsidR="00300430" w:rsidRPr="00E07BF6" w:rsidRDefault="00300430" w:rsidP="009E0913">
            <w:pPr>
              <w:pStyle w:val="Normal1"/>
              <w:ind w:left="-100"/>
              <w:rPr>
                <w:rFonts w:eastAsia="Open Sans"/>
                <w:sz w:val="21"/>
                <w:szCs w:val="21"/>
              </w:rPr>
            </w:pPr>
            <w:r w:rsidRPr="00E07BF6">
              <w:rPr>
                <w:rFonts w:eastAsia="Open Sans"/>
                <w:b/>
                <w:sz w:val="21"/>
                <w:szCs w:val="21"/>
              </w:rPr>
              <w:t>Name</w:t>
            </w:r>
          </w:p>
        </w:tc>
        <w:tc>
          <w:tcPr>
            <w:tcW w:w="7652" w:type="dxa"/>
            <w:tcMar>
              <w:top w:w="100" w:type="dxa"/>
              <w:left w:w="100" w:type="dxa"/>
              <w:bottom w:w="100" w:type="dxa"/>
              <w:right w:w="100" w:type="dxa"/>
            </w:tcMar>
          </w:tcPr>
          <w:p w:rsidR="00300430" w:rsidRPr="00E07BF6" w:rsidRDefault="00300430" w:rsidP="009E0913">
            <w:pPr>
              <w:pStyle w:val="Normal1"/>
              <w:ind w:left="190"/>
              <w:rPr>
                <w:rFonts w:eastAsia="Open Sans"/>
                <w:sz w:val="21"/>
                <w:szCs w:val="21"/>
              </w:rPr>
            </w:pPr>
            <w:r>
              <w:rPr>
                <w:rFonts w:eastAsia="Open Sans"/>
                <w:sz w:val="21"/>
                <w:szCs w:val="21"/>
              </w:rPr>
              <w:t xml:space="preserve">Assoc. </w:t>
            </w:r>
            <w:proofErr w:type="spellStart"/>
            <w:r>
              <w:rPr>
                <w:rFonts w:eastAsia="Open Sans"/>
                <w:sz w:val="21"/>
                <w:szCs w:val="21"/>
              </w:rPr>
              <w:t>Resch</w:t>
            </w:r>
            <w:proofErr w:type="spellEnd"/>
            <w:r>
              <w:rPr>
                <w:rFonts w:eastAsia="Open Sans"/>
                <w:sz w:val="21"/>
                <w:szCs w:val="21"/>
              </w:rPr>
              <w:t>. Prof., Dan M. Davis, JD; (I am comfortable with "Dan.")</w:t>
            </w:r>
          </w:p>
        </w:tc>
      </w:tr>
      <w:tr w:rsidR="00300430" w:rsidRPr="007A60A6" w:rsidTr="009E0913">
        <w:trPr>
          <w:trHeight w:val="270"/>
        </w:trPr>
        <w:tc>
          <w:tcPr>
            <w:tcW w:w="2610" w:type="dxa"/>
            <w:shd w:val="clear" w:color="auto" w:fill="FFFFFF"/>
            <w:tcMar>
              <w:top w:w="100" w:type="dxa"/>
              <w:left w:w="100" w:type="dxa"/>
              <w:bottom w:w="100" w:type="dxa"/>
              <w:right w:w="100" w:type="dxa"/>
            </w:tcMar>
          </w:tcPr>
          <w:p w:rsidR="00300430" w:rsidRPr="00E07BF6" w:rsidRDefault="00300430" w:rsidP="009E0913">
            <w:pPr>
              <w:pStyle w:val="Normal1"/>
              <w:ind w:left="-100"/>
              <w:rPr>
                <w:rFonts w:eastAsia="Open Sans"/>
                <w:sz w:val="21"/>
                <w:szCs w:val="21"/>
              </w:rPr>
            </w:pPr>
            <w:r w:rsidRPr="00E07BF6">
              <w:rPr>
                <w:rFonts w:eastAsia="Open Sans"/>
                <w:b/>
                <w:sz w:val="21"/>
                <w:szCs w:val="21"/>
              </w:rPr>
              <w:t>Contact Info</w:t>
            </w:r>
          </w:p>
        </w:tc>
        <w:tc>
          <w:tcPr>
            <w:tcW w:w="7652" w:type="dxa"/>
            <w:tcMar>
              <w:top w:w="100" w:type="dxa"/>
              <w:left w:w="100" w:type="dxa"/>
              <w:bottom w:w="100" w:type="dxa"/>
              <w:right w:w="100" w:type="dxa"/>
            </w:tcMar>
          </w:tcPr>
          <w:p w:rsidR="00300430" w:rsidRPr="00E07BF6" w:rsidRDefault="00AC1DC2" w:rsidP="009E0913">
            <w:pPr>
              <w:pStyle w:val="Normal1"/>
              <w:ind w:left="190"/>
              <w:rPr>
                <w:rFonts w:eastAsia="Open Sans"/>
                <w:sz w:val="21"/>
                <w:szCs w:val="21"/>
              </w:rPr>
            </w:pPr>
            <w:hyperlink r:id="rId8" w:history="1">
              <w:r w:rsidR="00300430" w:rsidRPr="00C00D89">
                <w:rPr>
                  <w:rStyle w:val="Hyperlink"/>
                  <w:rFonts w:eastAsia="Open Sans"/>
                  <w:sz w:val="21"/>
                  <w:szCs w:val="21"/>
                </w:rPr>
                <w:t>ddavis@catholicpolytechnic.org</w:t>
              </w:r>
            </w:hyperlink>
            <w:r w:rsidR="00300430">
              <w:rPr>
                <w:rFonts w:eastAsia="Open Sans"/>
                <w:sz w:val="21"/>
                <w:szCs w:val="21"/>
              </w:rPr>
              <w:t>, Cell: 310 909-3487</w:t>
            </w:r>
          </w:p>
        </w:tc>
      </w:tr>
      <w:tr w:rsidR="00300430" w:rsidRPr="007A60A6" w:rsidTr="009E0913">
        <w:trPr>
          <w:trHeight w:val="256"/>
        </w:trPr>
        <w:tc>
          <w:tcPr>
            <w:tcW w:w="2610" w:type="dxa"/>
            <w:tcBorders>
              <w:bottom w:val="single" w:sz="4" w:space="0" w:color="000000"/>
            </w:tcBorders>
            <w:shd w:val="clear" w:color="auto" w:fill="FFFFFF"/>
            <w:tcMar>
              <w:top w:w="100" w:type="dxa"/>
              <w:left w:w="100" w:type="dxa"/>
              <w:bottom w:w="100" w:type="dxa"/>
              <w:right w:w="100" w:type="dxa"/>
            </w:tcMar>
          </w:tcPr>
          <w:p w:rsidR="00300430" w:rsidRPr="00E07BF6" w:rsidRDefault="00300430" w:rsidP="009E0913">
            <w:pPr>
              <w:pStyle w:val="Normal1"/>
              <w:ind w:left="-100"/>
              <w:rPr>
                <w:rFonts w:eastAsia="Open Sans"/>
                <w:sz w:val="21"/>
                <w:szCs w:val="21"/>
              </w:rPr>
            </w:pPr>
            <w:r>
              <w:rPr>
                <w:rFonts w:eastAsia="Open Sans"/>
                <w:b/>
                <w:sz w:val="21"/>
                <w:szCs w:val="21"/>
              </w:rPr>
              <w:t xml:space="preserve">On-Line </w:t>
            </w:r>
            <w:r w:rsidRPr="00E07BF6">
              <w:rPr>
                <w:rFonts w:eastAsia="Open Sans"/>
                <w:b/>
                <w:sz w:val="21"/>
                <w:szCs w:val="21"/>
              </w:rPr>
              <w:t>Office location</w:t>
            </w:r>
          </w:p>
        </w:tc>
        <w:tc>
          <w:tcPr>
            <w:tcW w:w="7652" w:type="dxa"/>
            <w:tcBorders>
              <w:bottom w:val="single" w:sz="4" w:space="0" w:color="000000"/>
            </w:tcBorders>
            <w:tcMar>
              <w:top w:w="100" w:type="dxa"/>
              <w:left w:w="100" w:type="dxa"/>
              <w:bottom w:w="100" w:type="dxa"/>
              <w:right w:w="100" w:type="dxa"/>
            </w:tcMar>
          </w:tcPr>
          <w:p w:rsidR="00300430" w:rsidRPr="00E07BF6" w:rsidRDefault="00300430" w:rsidP="009E0913">
            <w:pPr>
              <w:pStyle w:val="Normal1"/>
              <w:ind w:left="190"/>
              <w:rPr>
                <w:rFonts w:eastAsia="Open Sans"/>
                <w:sz w:val="21"/>
                <w:szCs w:val="21"/>
              </w:rPr>
            </w:pPr>
            <w:r>
              <w:rPr>
                <w:rFonts w:eastAsia="Open Sans"/>
                <w:sz w:val="21"/>
                <w:szCs w:val="21"/>
              </w:rPr>
              <w:t xml:space="preserve">MS Teams: dmdavis@acm.org , Skype: </w:t>
            </w:r>
            <w:proofErr w:type="spellStart"/>
            <w:r>
              <w:rPr>
                <w:rFonts w:eastAsia="Open Sans"/>
                <w:sz w:val="21"/>
                <w:szCs w:val="21"/>
              </w:rPr>
              <w:t>cdrdmdavis</w:t>
            </w:r>
            <w:proofErr w:type="spellEnd"/>
          </w:p>
        </w:tc>
      </w:tr>
      <w:tr w:rsidR="00300430" w:rsidRPr="007A60A6" w:rsidTr="009E0913">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rsidR="00300430" w:rsidRPr="00E07BF6" w:rsidRDefault="00300430" w:rsidP="009E0913">
            <w:pPr>
              <w:pStyle w:val="Normal1"/>
              <w:ind w:left="-100"/>
              <w:rPr>
                <w:rFonts w:eastAsia="Open Sans"/>
                <w:b/>
                <w:sz w:val="21"/>
                <w:szCs w:val="21"/>
              </w:rPr>
            </w:pPr>
            <w:r w:rsidRPr="00E07BF6">
              <w:rPr>
                <w:rFonts w:eastAsia="Open Sans"/>
                <w:b/>
                <w:sz w:val="21"/>
                <w:szCs w:val="21"/>
              </w:rPr>
              <w:t>Office hours</w:t>
            </w:r>
          </w:p>
        </w:tc>
        <w:tc>
          <w:tcPr>
            <w:tcW w:w="7652" w:type="dxa"/>
            <w:tcBorders>
              <w:top w:val="single" w:sz="4" w:space="0" w:color="000000"/>
              <w:bottom w:val="single" w:sz="4" w:space="0" w:color="000000"/>
            </w:tcBorders>
            <w:tcMar>
              <w:top w:w="100" w:type="dxa"/>
              <w:left w:w="100" w:type="dxa"/>
              <w:bottom w:w="100" w:type="dxa"/>
              <w:right w:w="100" w:type="dxa"/>
            </w:tcMar>
          </w:tcPr>
          <w:p w:rsidR="00300430" w:rsidRPr="00E07BF6" w:rsidRDefault="00300430" w:rsidP="009E0913">
            <w:pPr>
              <w:pStyle w:val="Normal1"/>
              <w:ind w:left="190"/>
              <w:rPr>
                <w:rFonts w:eastAsia="Open Sans"/>
                <w:sz w:val="21"/>
                <w:szCs w:val="21"/>
              </w:rPr>
            </w:pPr>
            <w:r>
              <w:rPr>
                <w:rFonts w:eastAsia="Open Sans"/>
                <w:sz w:val="21"/>
                <w:szCs w:val="21"/>
              </w:rPr>
              <w:t>I will be on Skype - 3 PM to 5 PM Tuesday &amp; Thursday or by appointment</w:t>
            </w:r>
          </w:p>
        </w:tc>
      </w:tr>
    </w:tbl>
    <w:p w:rsidR="00300430" w:rsidRPr="00E07BF6" w:rsidRDefault="00300430" w:rsidP="00300430">
      <w:pPr>
        <w:pStyle w:val="Normal1"/>
        <w:rPr>
          <w:rFonts w:eastAsia="Open Sans"/>
          <w:sz w:val="21"/>
          <w:szCs w:val="21"/>
        </w:rPr>
      </w:pPr>
    </w:p>
    <w:p w:rsidR="00300430" w:rsidRPr="003F7DCA" w:rsidRDefault="00300430" w:rsidP="00300430">
      <w:pPr>
        <w:pStyle w:val="Normal1"/>
        <w:ind w:left="180" w:hanging="180"/>
        <w:rPr>
          <w:rFonts w:eastAsia="Open Sans"/>
          <w:b/>
          <w:color w:val="B8872B"/>
          <w:sz w:val="18"/>
          <w:szCs w:val="18"/>
        </w:rPr>
      </w:pPr>
      <w:bookmarkStart w:id="3" w:name="_3znysh7" w:colFirst="0" w:colLast="0"/>
      <w:bookmarkEnd w:id="3"/>
      <w:r w:rsidRPr="003F7DCA">
        <w:rPr>
          <w:rFonts w:eastAsia="Open Sans"/>
          <w:b/>
          <w:color w:val="B8872B"/>
          <w:sz w:val="18"/>
          <w:szCs w:val="18"/>
        </w:rPr>
        <w:t xml:space="preserve">TA </w:t>
      </w:r>
      <w:proofErr w:type="gramStart"/>
      <w:r>
        <w:rPr>
          <w:rFonts w:eastAsia="Open Sans"/>
          <w:b/>
          <w:color w:val="B8872B"/>
          <w:sz w:val="18"/>
          <w:szCs w:val="18"/>
        </w:rPr>
        <w:t xml:space="preserve">data </w:t>
      </w:r>
      <w:r w:rsidRPr="003F7DCA">
        <w:rPr>
          <w:rFonts w:eastAsia="Open Sans"/>
          <w:b/>
          <w:color w:val="B8872B"/>
          <w:sz w:val="18"/>
          <w:szCs w:val="18"/>
        </w:rPr>
        <w:t xml:space="preserve"> [</w:t>
      </w:r>
      <w:proofErr w:type="gramEnd"/>
      <w:r w:rsidRPr="003F7DCA">
        <w:rPr>
          <w:rFonts w:eastAsia="Open Sans"/>
          <w:b/>
          <w:color w:val="B8872B"/>
          <w:sz w:val="18"/>
          <w:szCs w:val="18"/>
        </w:rPr>
        <w:t xml:space="preserve">If applicable] </w:t>
      </w:r>
    </w:p>
    <w:tbl>
      <w:tblPr>
        <w:tblW w:w="10261" w:type="dxa"/>
        <w:tblInd w:w="280" w:type="dxa"/>
        <w:tblBorders>
          <w:insideH w:val="single" w:sz="4" w:space="0" w:color="000000"/>
        </w:tblBorders>
        <w:tblLayout w:type="fixed"/>
        <w:tblLook w:val="0600"/>
      </w:tblPr>
      <w:tblGrid>
        <w:gridCol w:w="2610"/>
        <w:gridCol w:w="7651"/>
      </w:tblGrid>
      <w:tr w:rsidR="00300430" w:rsidRPr="007A60A6" w:rsidTr="009E0913">
        <w:trPr>
          <w:trHeight w:val="248"/>
        </w:trPr>
        <w:tc>
          <w:tcPr>
            <w:tcW w:w="2610" w:type="dxa"/>
            <w:shd w:val="clear" w:color="auto" w:fill="FFFFFF"/>
            <w:tcMar>
              <w:top w:w="100" w:type="dxa"/>
              <w:left w:w="100" w:type="dxa"/>
              <w:bottom w:w="100" w:type="dxa"/>
              <w:right w:w="100" w:type="dxa"/>
            </w:tcMar>
          </w:tcPr>
          <w:p w:rsidR="00300430" w:rsidRPr="00E07BF6" w:rsidRDefault="00300430" w:rsidP="009E0913">
            <w:pPr>
              <w:pStyle w:val="Normal1"/>
              <w:ind w:left="-100"/>
              <w:rPr>
                <w:rFonts w:eastAsia="Open Sans"/>
                <w:sz w:val="21"/>
                <w:szCs w:val="21"/>
              </w:rPr>
            </w:pPr>
            <w:r w:rsidRPr="00E07BF6">
              <w:rPr>
                <w:rFonts w:eastAsia="Open Sans"/>
                <w:b/>
                <w:sz w:val="21"/>
                <w:szCs w:val="21"/>
              </w:rPr>
              <w:t>TA name</w:t>
            </w:r>
          </w:p>
        </w:tc>
        <w:tc>
          <w:tcPr>
            <w:tcW w:w="7651" w:type="dxa"/>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TBD</w:t>
            </w:r>
          </w:p>
        </w:tc>
      </w:tr>
      <w:tr w:rsidR="00300430" w:rsidRPr="007A60A6" w:rsidTr="009E0913">
        <w:trPr>
          <w:trHeight w:val="262"/>
        </w:trPr>
        <w:tc>
          <w:tcPr>
            <w:tcW w:w="2610" w:type="dxa"/>
            <w:shd w:val="clear" w:color="auto" w:fill="FFFFFF"/>
            <w:tcMar>
              <w:top w:w="100" w:type="dxa"/>
              <w:left w:w="100" w:type="dxa"/>
              <w:bottom w:w="100" w:type="dxa"/>
              <w:right w:w="100" w:type="dxa"/>
            </w:tcMar>
          </w:tcPr>
          <w:p w:rsidR="00300430" w:rsidRPr="00E07BF6" w:rsidRDefault="00300430" w:rsidP="009E0913">
            <w:pPr>
              <w:pStyle w:val="Normal1"/>
              <w:ind w:left="-100"/>
              <w:rPr>
                <w:rFonts w:eastAsia="Open Sans"/>
                <w:sz w:val="21"/>
                <w:szCs w:val="21"/>
              </w:rPr>
            </w:pPr>
            <w:r w:rsidRPr="00E07BF6">
              <w:rPr>
                <w:rFonts w:eastAsia="Open Sans"/>
                <w:b/>
                <w:sz w:val="21"/>
                <w:szCs w:val="21"/>
              </w:rPr>
              <w:t xml:space="preserve">TA Contact Info </w:t>
            </w:r>
          </w:p>
        </w:tc>
        <w:tc>
          <w:tcPr>
            <w:tcW w:w="7651" w:type="dxa"/>
            <w:tcMar>
              <w:top w:w="100" w:type="dxa"/>
              <w:left w:w="100" w:type="dxa"/>
              <w:bottom w:w="100" w:type="dxa"/>
              <w:right w:w="100" w:type="dxa"/>
            </w:tcMar>
          </w:tcPr>
          <w:p w:rsidR="00300430" w:rsidRPr="00E07BF6" w:rsidRDefault="00300430" w:rsidP="009E0913">
            <w:pPr>
              <w:pStyle w:val="Normal1"/>
              <w:rPr>
                <w:rFonts w:eastAsia="Open Sans"/>
                <w:sz w:val="21"/>
                <w:szCs w:val="21"/>
              </w:rPr>
            </w:pPr>
            <w:r w:rsidRPr="00E07BF6">
              <w:rPr>
                <w:rFonts w:eastAsia="Open Sans"/>
                <w:sz w:val="21"/>
                <w:szCs w:val="21"/>
              </w:rPr>
              <w:t>[Include information for TA’s preferred method of contact here]</w:t>
            </w:r>
          </w:p>
        </w:tc>
      </w:tr>
      <w:tr w:rsidR="00300430" w:rsidRPr="007A60A6" w:rsidTr="009E0913">
        <w:trPr>
          <w:trHeight w:val="262"/>
        </w:trPr>
        <w:tc>
          <w:tcPr>
            <w:tcW w:w="2610" w:type="dxa"/>
            <w:tcBorders>
              <w:bottom w:val="single" w:sz="4" w:space="0" w:color="000000"/>
            </w:tcBorders>
            <w:shd w:val="clear" w:color="auto" w:fill="FFFFFF"/>
            <w:tcMar>
              <w:top w:w="100" w:type="dxa"/>
              <w:left w:w="100" w:type="dxa"/>
              <w:bottom w:w="100" w:type="dxa"/>
              <w:right w:w="100" w:type="dxa"/>
            </w:tcMar>
          </w:tcPr>
          <w:p w:rsidR="00300430" w:rsidRPr="00E07BF6" w:rsidRDefault="00300430" w:rsidP="009E0913">
            <w:pPr>
              <w:pStyle w:val="Normal1"/>
              <w:ind w:left="-100"/>
              <w:rPr>
                <w:rFonts w:eastAsia="Open Sans"/>
                <w:sz w:val="21"/>
                <w:szCs w:val="21"/>
              </w:rPr>
            </w:pPr>
            <w:r>
              <w:rPr>
                <w:rFonts w:eastAsia="Open Sans"/>
                <w:b/>
                <w:sz w:val="21"/>
                <w:szCs w:val="21"/>
              </w:rPr>
              <w:t xml:space="preserve">On-Line </w:t>
            </w:r>
            <w:r w:rsidRPr="00E07BF6">
              <w:rPr>
                <w:rFonts w:eastAsia="Open Sans"/>
                <w:b/>
                <w:sz w:val="21"/>
                <w:szCs w:val="21"/>
              </w:rPr>
              <w:t>Office location</w:t>
            </w:r>
          </w:p>
        </w:tc>
        <w:tc>
          <w:tcPr>
            <w:tcW w:w="7651" w:type="dxa"/>
            <w:tcBorders>
              <w:bottom w:val="single" w:sz="4" w:space="0" w:color="000000"/>
            </w:tcBorders>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[MS Teams, Skype, Zoom, or other video conferencing address]</w:t>
            </w:r>
          </w:p>
        </w:tc>
      </w:tr>
      <w:tr w:rsidR="00300430" w:rsidRPr="007A60A6" w:rsidTr="009E0913">
        <w:trPr>
          <w:trHeight w:val="248"/>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rsidR="00300430" w:rsidRPr="00E07BF6" w:rsidRDefault="00300430" w:rsidP="009E0913">
            <w:pPr>
              <w:pStyle w:val="Normal1"/>
              <w:ind w:left="-100"/>
              <w:rPr>
                <w:rFonts w:eastAsia="Open Sans"/>
                <w:b/>
                <w:sz w:val="21"/>
                <w:szCs w:val="21"/>
              </w:rPr>
            </w:pPr>
            <w:r w:rsidRPr="00E07BF6">
              <w:rPr>
                <w:rFonts w:eastAsia="Open Sans"/>
                <w:b/>
                <w:sz w:val="21"/>
                <w:szCs w:val="21"/>
              </w:rPr>
              <w:t>Office hours</w:t>
            </w:r>
          </w:p>
        </w:tc>
        <w:tc>
          <w:tcPr>
            <w:tcW w:w="7651" w:type="dxa"/>
            <w:tcBorders>
              <w:top w:val="single" w:sz="4" w:space="0" w:color="000000"/>
              <w:bottom w:val="single" w:sz="4" w:space="0" w:color="000000"/>
            </w:tcBorders>
            <w:tcMar>
              <w:top w:w="100" w:type="dxa"/>
              <w:left w:w="100" w:type="dxa"/>
              <w:bottom w:w="100" w:type="dxa"/>
              <w:right w:w="100" w:type="dxa"/>
            </w:tcMar>
          </w:tcPr>
          <w:p w:rsidR="00300430" w:rsidRPr="00E07BF6" w:rsidRDefault="00300430" w:rsidP="009E0913">
            <w:pPr>
              <w:pStyle w:val="Normal1"/>
              <w:rPr>
                <w:rFonts w:eastAsia="Open Sans"/>
                <w:sz w:val="21"/>
                <w:szCs w:val="21"/>
              </w:rPr>
            </w:pPr>
          </w:p>
        </w:tc>
      </w:tr>
    </w:tbl>
    <w:p w:rsidR="00300430" w:rsidRDefault="00300430" w:rsidP="00300430">
      <w:pPr>
        <w:pStyle w:val="Heading1"/>
        <w:rPr>
          <w:rFonts w:eastAsia="Open Sans"/>
          <w:b/>
          <w:color w:val="B8872B"/>
          <w:sz w:val="21"/>
          <w:szCs w:val="21"/>
        </w:rPr>
      </w:pPr>
      <w:bookmarkStart w:id="4" w:name="_2et92p0" w:colFirst="0" w:colLast="0"/>
      <w:bookmarkEnd w:id="4"/>
      <w:proofErr w:type="spellStart"/>
      <w:r>
        <w:rPr>
          <w:rFonts w:eastAsia="Open Sans"/>
          <w:b/>
          <w:color w:val="B8872B"/>
          <w:sz w:val="21"/>
          <w:szCs w:val="21"/>
        </w:rPr>
        <w:t>Prerequsites</w:t>
      </w:r>
      <w:proofErr w:type="spellEnd"/>
    </w:p>
    <w:p w:rsidR="00300430" w:rsidRDefault="00300430" w:rsidP="00300430">
      <w:pPr>
        <w:pStyle w:val="Normal1"/>
        <w:numPr>
          <w:ilvl w:val="0"/>
          <w:numId w:val="1"/>
        </w:numPr>
        <w:ind w:hanging="360"/>
        <w:contextualSpacing/>
        <w:rPr>
          <w:rFonts w:eastAsia="Open Sans"/>
          <w:sz w:val="21"/>
          <w:szCs w:val="21"/>
        </w:rPr>
      </w:pPr>
      <w:r>
        <w:rPr>
          <w:rFonts w:eastAsia="Open Sans"/>
          <w:sz w:val="21"/>
          <w:szCs w:val="21"/>
        </w:rPr>
        <w:t>This is a graduate-level course, so enrolling is restricted to those with Junior Status in the School of Engineering or by prior permission by the professor.</w:t>
      </w:r>
    </w:p>
    <w:p w:rsidR="00300430" w:rsidRPr="00E07BF6" w:rsidRDefault="00300430" w:rsidP="00300430">
      <w:pPr>
        <w:pStyle w:val="Normal1"/>
        <w:ind w:left="360"/>
        <w:contextualSpacing/>
        <w:rPr>
          <w:rFonts w:eastAsia="Open Sans"/>
          <w:sz w:val="21"/>
          <w:szCs w:val="21"/>
        </w:rPr>
      </w:pPr>
    </w:p>
    <w:p w:rsidR="00300430" w:rsidRPr="003F7DCA" w:rsidRDefault="00300430" w:rsidP="00300430">
      <w:pPr>
        <w:pStyle w:val="Heading1"/>
        <w:rPr>
          <w:rFonts w:eastAsia="Open Sans"/>
          <w:b/>
          <w:color w:val="B8872B"/>
          <w:sz w:val="21"/>
          <w:szCs w:val="21"/>
        </w:rPr>
      </w:pPr>
      <w:r w:rsidRPr="003F7DCA">
        <w:rPr>
          <w:rFonts w:eastAsia="Open Sans"/>
          <w:b/>
          <w:color w:val="B8872B"/>
          <w:sz w:val="21"/>
          <w:szCs w:val="21"/>
        </w:rPr>
        <w:t>Course Description</w:t>
      </w:r>
    </w:p>
    <w:p w:rsidR="00300430" w:rsidRPr="00C711CD" w:rsidRDefault="00300430" w:rsidP="00300430">
      <w:pPr>
        <w:pStyle w:val="Normal1"/>
        <w:numPr>
          <w:ilvl w:val="0"/>
          <w:numId w:val="1"/>
        </w:numPr>
        <w:ind w:hanging="360"/>
        <w:contextualSpacing/>
        <w:rPr>
          <w:sz w:val="21"/>
          <w:szCs w:val="21"/>
        </w:rPr>
      </w:pPr>
      <w:bookmarkStart w:id="5" w:name="_11oevfb58es1" w:colFirst="0" w:colLast="0"/>
      <w:bookmarkEnd w:id="5"/>
      <w:r>
        <w:t>Give researchers and graduate degree candidates an understanding of the range of sources of research funding, the award process, and the effective management of research, in order to prepare them to rapidly master the efficient identification of funding oppor</w:t>
      </w:r>
      <w:r>
        <w:softHyphen/>
        <w:t>tunities, the proposal process, and the administration of research in an academic or other research environment.</w:t>
      </w:r>
    </w:p>
    <w:p w:rsidR="00300430" w:rsidRPr="00C711CD" w:rsidRDefault="00300430" w:rsidP="00300430">
      <w:pPr>
        <w:pStyle w:val="Normal1"/>
        <w:numPr>
          <w:ilvl w:val="0"/>
          <w:numId w:val="1"/>
        </w:numPr>
        <w:ind w:hanging="360"/>
        <w:contextualSpacing/>
        <w:rPr>
          <w:sz w:val="21"/>
          <w:szCs w:val="21"/>
        </w:rPr>
      </w:pPr>
      <w:r>
        <w:rPr>
          <w:sz w:val="21"/>
          <w:szCs w:val="21"/>
        </w:rPr>
        <w:t xml:space="preserve">I will also impart a taxonomic approach to ordering the necessary skills </w:t>
      </w:r>
      <w:proofErr w:type="spellStart"/>
      <w:r>
        <w:rPr>
          <w:sz w:val="21"/>
          <w:szCs w:val="21"/>
        </w:rPr>
        <w:t>ans</w:t>
      </w:r>
      <w:proofErr w:type="spellEnd"/>
      <w:r>
        <w:rPr>
          <w:sz w:val="21"/>
          <w:szCs w:val="21"/>
        </w:rPr>
        <w:t xml:space="preserve"> steps in any organized evolution and make the students assessment and mastery of the requisite processes. </w:t>
      </w:r>
    </w:p>
    <w:p w:rsidR="00300430" w:rsidRPr="00C711CD" w:rsidRDefault="00300430" w:rsidP="00300430">
      <w:pPr>
        <w:pStyle w:val="Normal1"/>
        <w:numPr>
          <w:ilvl w:val="0"/>
          <w:numId w:val="1"/>
        </w:numPr>
        <w:ind w:hanging="360"/>
        <w:contextualSpacing/>
        <w:rPr>
          <w:sz w:val="21"/>
          <w:szCs w:val="21"/>
        </w:rPr>
      </w:pPr>
      <w:r>
        <w:rPr>
          <w:sz w:val="21"/>
          <w:szCs w:val="21"/>
        </w:rPr>
        <w:t xml:space="preserve">This is a very participatory course, so each major process will also entail the creation of sample processes and documents. </w:t>
      </w:r>
    </w:p>
    <w:p w:rsidR="00300430" w:rsidRPr="00C711CD" w:rsidRDefault="00300430" w:rsidP="00300430">
      <w:pPr>
        <w:pStyle w:val="Normal1"/>
        <w:numPr>
          <w:ilvl w:val="0"/>
          <w:numId w:val="1"/>
        </w:numPr>
        <w:ind w:hanging="360"/>
        <w:contextualSpacing/>
        <w:rPr>
          <w:sz w:val="21"/>
          <w:szCs w:val="21"/>
        </w:rPr>
      </w:pPr>
      <w:r>
        <w:rPr>
          <w:rFonts w:eastAsia="Open Sans"/>
          <w:sz w:val="21"/>
          <w:szCs w:val="21"/>
        </w:rPr>
        <w:t>Class room instruction will comprise most of the teaching but out-of-class work will be more oriented to creating examples of documents and presentation implementing what has been learned in class of via the source materials</w:t>
      </w:r>
    </w:p>
    <w:p w:rsidR="00300430" w:rsidRPr="00C711CD" w:rsidRDefault="00300430" w:rsidP="00300430">
      <w:pPr>
        <w:pStyle w:val="Normal1"/>
        <w:numPr>
          <w:ilvl w:val="0"/>
          <w:numId w:val="1"/>
        </w:numPr>
        <w:ind w:hanging="360"/>
        <w:contextualSpacing/>
        <w:rPr>
          <w:sz w:val="21"/>
          <w:szCs w:val="21"/>
        </w:rPr>
      </w:pPr>
      <w:r>
        <w:rPr>
          <w:rFonts w:eastAsia="Open Sans"/>
          <w:sz w:val="21"/>
          <w:szCs w:val="21"/>
        </w:rPr>
        <w:t>Methods of maintaining and improving sponsor relations</w:t>
      </w:r>
    </w:p>
    <w:p w:rsidR="00300430" w:rsidRDefault="00300430" w:rsidP="00300430">
      <w:pPr>
        <w:pStyle w:val="Normal1"/>
        <w:numPr>
          <w:ilvl w:val="0"/>
          <w:numId w:val="1"/>
        </w:numPr>
        <w:ind w:hanging="360"/>
        <w:contextualSpacing/>
        <w:rPr>
          <w:sz w:val="21"/>
          <w:szCs w:val="21"/>
        </w:rPr>
      </w:pPr>
      <w:r>
        <w:rPr>
          <w:rFonts w:eastAsia="Open Sans"/>
          <w:sz w:val="21"/>
          <w:szCs w:val="21"/>
        </w:rPr>
        <w:t>Basic introduction to Intellectual property law</w:t>
      </w:r>
      <w:r w:rsidRPr="00E07BF6">
        <w:rPr>
          <w:rFonts w:eastAsia="Open Sans"/>
          <w:sz w:val="21"/>
          <w:szCs w:val="21"/>
        </w:rPr>
        <w:t xml:space="preserve"> </w:t>
      </w:r>
    </w:p>
    <w:p w:rsidR="00300430" w:rsidRPr="00EF0FD4" w:rsidRDefault="00300430" w:rsidP="00300430">
      <w:pPr>
        <w:pStyle w:val="Normal1"/>
        <w:numPr>
          <w:ilvl w:val="0"/>
          <w:numId w:val="1"/>
        </w:numPr>
        <w:ind w:hanging="360"/>
        <w:contextualSpacing/>
        <w:rPr>
          <w:sz w:val="21"/>
          <w:szCs w:val="21"/>
        </w:rPr>
      </w:pPr>
      <w:r>
        <w:rPr>
          <w:sz w:val="21"/>
          <w:szCs w:val="21"/>
        </w:rPr>
        <w:t>Internal controls, personnel management, and intra-organizational relations</w:t>
      </w:r>
    </w:p>
    <w:p w:rsidR="00300430" w:rsidRPr="00E07BF6" w:rsidRDefault="00300430" w:rsidP="00300430">
      <w:pPr>
        <w:pStyle w:val="Normal1"/>
        <w:ind w:left="360"/>
        <w:rPr>
          <w:rFonts w:eastAsia="Open Sans"/>
          <w:sz w:val="21"/>
          <w:szCs w:val="21"/>
        </w:rPr>
      </w:pPr>
      <w:bookmarkStart w:id="6" w:name="_tyjcwt" w:colFirst="0" w:colLast="0"/>
      <w:bookmarkEnd w:id="6"/>
    </w:p>
    <w:p w:rsidR="00300430" w:rsidRPr="003F7DCA" w:rsidRDefault="00300430" w:rsidP="00300430">
      <w:pPr>
        <w:pStyle w:val="Heading1"/>
        <w:rPr>
          <w:rFonts w:eastAsia="Open Sans"/>
          <w:b/>
          <w:color w:val="B8872B"/>
          <w:sz w:val="21"/>
          <w:szCs w:val="21"/>
        </w:rPr>
      </w:pPr>
      <w:r>
        <w:rPr>
          <w:rFonts w:eastAsia="Open Sans"/>
          <w:b/>
          <w:color w:val="B8872B"/>
          <w:sz w:val="21"/>
          <w:szCs w:val="21"/>
        </w:rPr>
        <w:t>Class</w:t>
      </w:r>
      <w:r w:rsidRPr="003F7DCA">
        <w:rPr>
          <w:rFonts w:eastAsia="Open Sans"/>
          <w:b/>
          <w:color w:val="B8872B"/>
          <w:sz w:val="21"/>
          <w:szCs w:val="21"/>
        </w:rPr>
        <w:t xml:space="preserve"> Objectives </w:t>
      </w:r>
    </w:p>
    <w:p w:rsidR="00300430" w:rsidRPr="00C711CD" w:rsidRDefault="00300430" w:rsidP="00300430">
      <w:pPr>
        <w:pStyle w:val="Normal1"/>
        <w:numPr>
          <w:ilvl w:val="0"/>
          <w:numId w:val="1"/>
        </w:numPr>
        <w:ind w:hanging="360"/>
        <w:rPr>
          <w:b/>
          <w:sz w:val="21"/>
          <w:szCs w:val="21"/>
        </w:rPr>
      </w:pPr>
      <w:r>
        <w:rPr>
          <w:rFonts w:eastAsia="Open Sans"/>
          <w:sz w:val="21"/>
          <w:szCs w:val="21"/>
        </w:rPr>
        <w:t>Introduction to research administration concepts, terminology and pitfalls</w:t>
      </w:r>
    </w:p>
    <w:p w:rsidR="00300430" w:rsidRPr="00C711CD" w:rsidRDefault="00300430" w:rsidP="00300430">
      <w:pPr>
        <w:pStyle w:val="Normal1"/>
        <w:numPr>
          <w:ilvl w:val="0"/>
          <w:numId w:val="1"/>
        </w:numPr>
        <w:ind w:hanging="360"/>
        <w:rPr>
          <w:b/>
          <w:sz w:val="21"/>
          <w:szCs w:val="21"/>
        </w:rPr>
      </w:pPr>
      <w:r>
        <w:rPr>
          <w:rFonts w:eastAsia="Open Sans"/>
          <w:sz w:val="21"/>
          <w:szCs w:val="21"/>
        </w:rPr>
        <w:t>Identification of a range of funding sources and methods for soliciting same</w:t>
      </w:r>
    </w:p>
    <w:p w:rsidR="00300430" w:rsidRPr="00C711CD" w:rsidRDefault="00300430" w:rsidP="00300430">
      <w:pPr>
        <w:pStyle w:val="Normal1"/>
        <w:numPr>
          <w:ilvl w:val="0"/>
          <w:numId w:val="1"/>
        </w:numPr>
        <w:ind w:hanging="360"/>
        <w:rPr>
          <w:b/>
          <w:sz w:val="21"/>
          <w:szCs w:val="21"/>
        </w:rPr>
      </w:pPr>
      <w:r>
        <w:rPr>
          <w:rFonts w:eastAsia="Open Sans"/>
          <w:sz w:val="21"/>
          <w:szCs w:val="21"/>
        </w:rPr>
        <w:t>Group management techniques and traditions</w:t>
      </w:r>
    </w:p>
    <w:p w:rsidR="00300430" w:rsidRPr="00E07BF6" w:rsidRDefault="00300430" w:rsidP="00300430">
      <w:pPr>
        <w:pStyle w:val="Normal1"/>
        <w:numPr>
          <w:ilvl w:val="0"/>
          <w:numId w:val="1"/>
        </w:numPr>
        <w:ind w:hanging="360"/>
        <w:rPr>
          <w:b/>
          <w:sz w:val="21"/>
          <w:szCs w:val="21"/>
        </w:rPr>
      </w:pPr>
      <w:r w:rsidRPr="00E07BF6">
        <w:rPr>
          <w:rFonts w:eastAsia="Open Sans"/>
          <w:sz w:val="21"/>
          <w:szCs w:val="21"/>
        </w:rPr>
        <w:t>.</w:t>
      </w:r>
    </w:p>
    <w:p w:rsidR="00300430" w:rsidRPr="00E07BF6" w:rsidRDefault="00300430" w:rsidP="00300430">
      <w:pPr>
        <w:pStyle w:val="Normal1"/>
        <w:rPr>
          <w:rFonts w:eastAsia="Open Sans"/>
          <w:sz w:val="21"/>
          <w:szCs w:val="21"/>
        </w:rPr>
      </w:pPr>
    </w:p>
    <w:p w:rsidR="00300430" w:rsidRPr="003F7DCA" w:rsidRDefault="00300430" w:rsidP="00300430">
      <w:pPr>
        <w:pStyle w:val="Heading1"/>
        <w:rPr>
          <w:rFonts w:eastAsia="Open Sans"/>
          <w:b/>
          <w:color w:val="B8872B"/>
          <w:sz w:val="21"/>
          <w:szCs w:val="21"/>
        </w:rPr>
      </w:pPr>
      <w:bookmarkStart w:id="7" w:name="_3dy6vkm" w:colFirst="0" w:colLast="0"/>
      <w:bookmarkEnd w:id="7"/>
      <w:r>
        <w:rPr>
          <w:rFonts w:eastAsia="Open Sans"/>
          <w:b/>
          <w:color w:val="B8872B"/>
          <w:sz w:val="21"/>
          <w:szCs w:val="21"/>
        </w:rPr>
        <w:t>Course</w:t>
      </w:r>
      <w:r w:rsidRPr="003F7DCA">
        <w:rPr>
          <w:rFonts w:eastAsia="Open Sans"/>
          <w:b/>
          <w:color w:val="B8872B"/>
          <w:sz w:val="21"/>
          <w:szCs w:val="21"/>
        </w:rPr>
        <w:t xml:space="preserve"> Resources </w:t>
      </w:r>
    </w:p>
    <w:p w:rsidR="00300430" w:rsidRPr="00EF0FD4" w:rsidRDefault="00300430" w:rsidP="00300430">
      <w:pPr>
        <w:pStyle w:val="Normal1"/>
        <w:numPr>
          <w:ilvl w:val="0"/>
          <w:numId w:val="1"/>
        </w:numPr>
        <w:ind w:hanging="360"/>
        <w:contextualSpacing/>
        <w:rPr>
          <w:sz w:val="21"/>
          <w:szCs w:val="21"/>
        </w:rPr>
      </w:pPr>
      <w:r>
        <w:rPr>
          <w:rFonts w:eastAsia="Open Sans"/>
          <w:sz w:val="21"/>
          <w:szCs w:val="21"/>
        </w:rPr>
        <w:t>The Mythical Man-Month</w:t>
      </w:r>
      <w:r w:rsidRPr="00EF0FD4">
        <w:t xml:space="preserve"> </w:t>
      </w:r>
      <w:r w:rsidRPr="00EF0FD4">
        <w:rPr>
          <w:rFonts w:eastAsia="Open Sans"/>
          <w:sz w:val="21"/>
          <w:szCs w:val="21"/>
        </w:rPr>
        <w:t>Mythical Man-Month, The: Essays on Software Engineering,</w:t>
      </w:r>
      <w:r>
        <w:rPr>
          <w:rFonts w:eastAsia="Open Sans"/>
          <w:sz w:val="21"/>
          <w:szCs w:val="21"/>
        </w:rPr>
        <w:t xml:space="preserve"> Prof Fred Brooks, ISBN: </w:t>
      </w:r>
      <w:r>
        <w:rPr>
          <w:rStyle w:val="a-list-item"/>
        </w:rPr>
        <w:t>978-0201835953</w:t>
      </w:r>
    </w:p>
    <w:p w:rsidR="00300430" w:rsidRPr="00E07BF6" w:rsidRDefault="00300430" w:rsidP="00300430">
      <w:pPr>
        <w:pStyle w:val="Normal1"/>
        <w:numPr>
          <w:ilvl w:val="0"/>
          <w:numId w:val="1"/>
        </w:numPr>
        <w:ind w:hanging="360"/>
        <w:contextualSpacing/>
        <w:rPr>
          <w:sz w:val="21"/>
          <w:szCs w:val="21"/>
        </w:rPr>
      </w:pPr>
      <w:r w:rsidRPr="00E07BF6">
        <w:rPr>
          <w:rFonts w:eastAsia="Open Sans"/>
          <w:sz w:val="21"/>
          <w:szCs w:val="21"/>
        </w:rPr>
        <w:t xml:space="preserve"> </w:t>
      </w:r>
      <w:r>
        <w:rPr>
          <w:rFonts w:eastAsia="Open Sans"/>
          <w:sz w:val="21"/>
          <w:szCs w:val="21"/>
        </w:rPr>
        <w:t xml:space="preserve">Hold Successful Meetings, Katherine </w:t>
      </w:r>
      <w:proofErr w:type="spellStart"/>
      <w:r>
        <w:rPr>
          <w:rFonts w:eastAsia="Open Sans"/>
          <w:sz w:val="21"/>
          <w:szCs w:val="21"/>
        </w:rPr>
        <w:t>Kostoula</w:t>
      </w:r>
      <w:proofErr w:type="spellEnd"/>
      <w:r>
        <w:rPr>
          <w:rFonts w:eastAsia="Open Sans"/>
          <w:sz w:val="21"/>
          <w:szCs w:val="21"/>
        </w:rPr>
        <w:t xml:space="preserve">, ISBN: </w:t>
      </w:r>
      <w:r>
        <w:rPr>
          <w:rStyle w:val="a-list-item"/>
        </w:rPr>
        <w:t>978-0241481950</w:t>
      </w:r>
    </w:p>
    <w:p w:rsidR="00300430" w:rsidRPr="00E07BF6" w:rsidRDefault="00300430" w:rsidP="00300430">
      <w:pPr>
        <w:pStyle w:val="Normal1"/>
        <w:rPr>
          <w:rFonts w:eastAsia="Open Sans"/>
          <w:sz w:val="21"/>
          <w:szCs w:val="21"/>
        </w:rPr>
      </w:pPr>
    </w:p>
    <w:p w:rsidR="00300430" w:rsidRPr="003F7DCA" w:rsidRDefault="00300430" w:rsidP="00300430">
      <w:pPr>
        <w:pStyle w:val="Heading1"/>
        <w:rPr>
          <w:rFonts w:eastAsia="Open Sans"/>
          <w:color w:val="B8872B"/>
          <w:sz w:val="21"/>
          <w:szCs w:val="21"/>
        </w:rPr>
      </w:pPr>
      <w:bookmarkStart w:id="8" w:name="_1t3h5sf" w:colFirst="0" w:colLast="0"/>
      <w:bookmarkStart w:id="9" w:name="_4d34og8" w:colFirst="0" w:colLast="0"/>
      <w:bookmarkEnd w:id="8"/>
      <w:bookmarkEnd w:id="9"/>
      <w:r>
        <w:rPr>
          <w:rFonts w:eastAsia="Open Sans"/>
          <w:b/>
          <w:color w:val="B8872B"/>
          <w:sz w:val="21"/>
          <w:szCs w:val="21"/>
        </w:rPr>
        <w:t>Metric</w:t>
      </w:r>
      <w:r w:rsidRPr="003F7DCA">
        <w:rPr>
          <w:rFonts w:eastAsia="Open Sans"/>
          <w:b/>
          <w:color w:val="B8872B"/>
          <w:sz w:val="21"/>
          <w:szCs w:val="21"/>
        </w:rPr>
        <w:t>s</w:t>
      </w:r>
    </w:p>
    <w:p w:rsidR="00300430" w:rsidRPr="00E07BF6" w:rsidRDefault="00300430" w:rsidP="00300430">
      <w:pPr>
        <w:pStyle w:val="Normal1"/>
        <w:ind w:left="180"/>
        <w:rPr>
          <w:rFonts w:eastAsia="Open Sans"/>
          <w:sz w:val="21"/>
          <w:szCs w:val="21"/>
        </w:rPr>
      </w:pPr>
      <w:r w:rsidRPr="00E07BF6">
        <w:rPr>
          <w:rFonts w:eastAsia="Open Sans"/>
          <w:sz w:val="21"/>
          <w:szCs w:val="21"/>
        </w:rPr>
        <w:t>The final course grade will be calculated using the following categories:</w:t>
      </w:r>
    </w:p>
    <w:p w:rsidR="00300430" w:rsidRPr="00E07BF6" w:rsidRDefault="00300430" w:rsidP="00300430">
      <w:pPr>
        <w:pStyle w:val="Normal1"/>
        <w:rPr>
          <w:rFonts w:eastAsia="Open Sans"/>
          <w:sz w:val="21"/>
          <w:szCs w:val="21"/>
          <w:shd w:val="clear" w:color="auto" w:fill="C9DAF8"/>
        </w:rPr>
      </w:pPr>
    </w:p>
    <w:tbl>
      <w:tblPr>
        <w:tblW w:w="6650" w:type="dxa"/>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3240"/>
        <w:gridCol w:w="3410"/>
      </w:tblGrid>
      <w:tr w:rsidR="00300430" w:rsidRPr="007A60A6" w:rsidTr="00AD1B49">
        <w:trPr>
          <w:trHeight w:val="420"/>
        </w:trPr>
        <w:tc>
          <w:tcPr>
            <w:tcW w:w="3240" w:type="dxa"/>
            <w:shd w:val="clear" w:color="auto" w:fill="FFFFFF"/>
            <w:tcMar>
              <w:top w:w="100" w:type="dxa"/>
              <w:left w:w="100" w:type="dxa"/>
              <w:bottom w:w="100" w:type="dxa"/>
              <w:right w:w="100" w:type="dxa"/>
            </w:tcMar>
          </w:tcPr>
          <w:p w:rsidR="00300430" w:rsidRPr="00E07BF6" w:rsidRDefault="00300430" w:rsidP="00211485">
            <w:pPr>
              <w:pStyle w:val="Normal1"/>
              <w:ind w:left="-100"/>
              <w:jc w:val="center"/>
              <w:rPr>
                <w:rFonts w:eastAsia="Open Sans"/>
                <w:b/>
                <w:sz w:val="21"/>
                <w:szCs w:val="21"/>
              </w:rPr>
            </w:pPr>
            <w:r>
              <w:rPr>
                <w:rFonts w:eastAsia="Open Sans"/>
                <w:b/>
                <w:sz w:val="21"/>
                <w:szCs w:val="21"/>
              </w:rPr>
              <w:t>Metric</w:t>
            </w:r>
          </w:p>
        </w:tc>
        <w:tc>
          <w:tcPr>
            <w:tcW w:w="3410" w:type="dxa"/>
            <w:shd w:val="clear" w:color="auto" w:fill="FFFFFF"/>
            <w:tcMar>
              <w:top w:w="100" w:type="dxa"/>
              <w:left w:w="100" w:type="dxa"/>
              <w:bottom w:w="100" w:type="dxa"/>
              <w:right w:w="100" w:type="dxa"/>
            </w:tcMar>
          </w:tcPr>
          <w:p w:rsidR="00300430" w:rsidRPr="00E07BF6" w:rsidRDefault="00300430" w:rsidP="00211485">
            <w:pPr>
              <w:pStyle w:val="Normal1"/>
              <w:jc w:val="center"/>
              <w:rPr>
                <w:rFonts w:eastAsia="Open Sans"/>
                <w:b/>
                <w:sz w:val="21"/>
                <w:szCs w:val="21"/>
              </w:rPr>
            </w:pPr>
            <w:r w:rsidRPr="00E07BF6">
              <w:rPr>
                <w:rFonts w:eastAsia="Open Sans"/>
                <w:b/>
                <w:sz w:val="21"/>
                <w:szCs w:val="21"/>
              </w:rPr>
              <w:t>Percentage of Final Grade</w:t>
            </w:r>
          </w:p>
        </w:tc>
      </w:tr>
      <w:tr w:rsidR="00300430" w:rsidRPr="007A60A6" w:rsidTr="00AD1B49">
        <w:tc>
          <w:tcPr>
            <w:tcW w:w="3240" w:type="dxa"/>
            <w:shd w:val="clear" w:color="auto" w:fill="FFFFFF"/>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4 short tests: Wk 4, 7, 10 and 13</w:t>
            </w:r>
          </w:p>
        </w:tc>
        <w:tc>
          <w:tcPr>
            <w:tcW w:w="3410" w:type="dxa"/>
            <w:shd w:val="clear" w:color="auto" w:fill="FFFFFF"/>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 xml:space="preserve">10% each (if all aced, no final) </w:t>
            </w:r>
          </w:p>
        </w:tc>
      </w:tr>
      <w:tr w:rsidR="00300430" w:rsidRPr="007A60A6" w:rsidTr="00AD1B49">
        <w:tc>
          <w:tcPr>
            <w:tcW w:w="3240" w:type="dxa"/>
            <w:shd w:val="clear" w:color="auto" w:fill="FFFFFF"/>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Mock Proposal Idea Document</w:t>
            </w:r>
          </w:p>
        </w:tc>
        <w:tc>
          <w:tcPr>
            <w:tcW w:w="3410" w:type="dxa"/>
            <w:shd w:val="clear" w:color="auto" w:fill="FFFFFF"/>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15%</w:t>
            </w:r>
          </w:p>
        </w:tc>
      </w:tr>
      <w:tr w:rsidR="00300430" w:rsidRPr="007A60A6" w:rsidTr="00AD1B49">
        <w:tc>
          <w:tcPr>
            <w:tcW w:w="3240" w:type="dxa"/>
            <w:shd w:val="clear" w:color="auto" w:fill="FFFFFF"/>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Mock Proposal Pitch</w:t>
            </w:r>
          </w:p>
        </w:tc>
        <w:tc>
          <w:tcPr>
            <w:tcW w:w="3410" w:type="dxa"/>
            <w:shd w:val="clear" w:color="auto" w:fill="FFFFFF"/>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15%</w:t>
            </w:r>
          </w:p>
        </w:tc>
      </w:tr>
      <w:tr w:rsidR="00300430" w:rsidRPr="007A60A6" w:rsidTr="00AD1B49">
        <w:tc>
          <w:tcPr>
            <w:tcW w:w="3240" w:type="dxa"/>
            <w:shd w:val="clear" w:color="auto" w:fill="FFFFFF"/>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Final</w:t>
            </w:r>
          </w:p>
        </w:tc>
        <w:tc>
          <w:tcPr>
            <w:tcW w:w="3410" w:type="dxa"/>
            <w:shd w:val="clear" w:color="auto" w:fill="FFFFFF"/>
            <w:tcMar>
              <w:top w:w="100" w:type="dxa"/>
              <w:left w:w="100" w:type="dxa"/>
              <w:bottom w:w="100" w:type="dxa"/>
              <w:right w:w="100" w:type="dxa"/>
            </w:tcMar>
          </w:tcPr>
          <w:p w:rsidR="00300430" w:rsidRPr="00E07BF6" w:rsidRDefault="00300430" w:rsidP="009E0913">
            <w:pPr>
              <w:pStyle w:val="Normal1"/>
              <w:rPr>
                <w:rFonts w:eastAsia="Open Sans"/>
                <w:sz w:val="21"/>
                <w:szCs w:val="21"/>
              </w:rPr>
            </w:pPr>
            <w:r>
              <w:rPr>
                <w:rFonts w:eastAsia="Open Sans"/>
                <w:sz w:val="21"/>
                <w:szCs w:val="21"/>
              </w:rPr>
              <w:t>30% or grade from short tests</w:t>
            </w:r>
          </w:p>
        </w:tc>
      </w:tr>
    </w:tbl>
    <w:p w:rsidR="00300430" w:rsidRPr="00E07BF6" w:rsidRDefault="00300430" w:rsidP="00300430">
      <w:pPr>
        <w:pStyle w:val="Normal1"/>
        <w:rPr>
          <w:rFonts w:eastAsia="Open Sans"/>
          <w:sz w:val="21"/>
          <w:szCs w:val="21"/>
        </w:rPr>
      </w:pPr>
    </w:p>
    <w:p w:rsidR="00300430" w:rsidRPr="00E07BF6" w:rsidRDefault="00300430" w:rsidP="00300430">
      <w:pPr>
        <w:pStyle w:val="Normal1"/>
        <w:numPr>
          <w:ilvl w:val="0"/>
          <w:numId w:val="1"/>
        </w:numPr>
        <w:ind w:hanging="360"/>
        <w:rPr>
          <w:sz w:val="21"/>
          <w:szCs w:val="21"/>
        </w:rPr>
      </w:pPr>
      <w:r>
        <w:rPr>
          <w:rFonts w:eastAsia="Open Sans"/>
          <w:sz w:val="21"/>
          <w:szCs w:val="21"/>
        </w:rPr>
        <w:t>Short tests will be multiple choice and short answer to show mastery of terms and concepts</w:t>
      </w:r>
      <w:r w:rsidRPr="00E07BF6">
        <w:rPr>
          <w:rFonts w:eastAsia="Open Sans"/>
          <w:sz w:val="21"/>
          <w:szCs w:val="21"/>
        </w:rPr>
        <w:t xml:space="preserve">  </w:t>
      </w:r>
    </w:p>
    <w:p w:rsidR="00300430" w:rsidRPr="00E07BF6" w:rsidRDefault="00300430" w:rsidP="00300430">
      <w:pPr>
        <w:pStyle w:val="Normal1"/>
        <w:numPr>
          <w:ilvl w:val="0"/>
          <w:numId w:val="1"/>
        </w:numPr>
        <w:ind w:hanging="360"/>
        <w:rPr>
          <w:sz w:val="21"/>
          <w:szCs w:val="21"/>
        </w:rPr>
      </w:pPr>
      <w:r>
        <w:rPr>
          <w:sz w:val="21"/>
          <w:szCs w:val="21"/>
        </w:rPr>
        <w:t xml:space="preserve">Mock activities </w:t>
      </w:r>
      <w:proofErr w:type="spellStart"/>
      <w:r>
        <w:rPr>
          <w:sz w:val="21"/>
          <w:szCs w:val="21"/>
        </w:rPr>
        <w:t>witll</w:t>
      </w:r>
      <w:proofErr w:type="spellEnd"/>
      <w:r>
        <w:rPr>
          <w:sz w:val="21"/>
          <w:szCs w:val="21"/>
        </w:rPr>
        <w:t xml:space="preserve"> be judged by the Professor in terms of understanding of necessary components and reelection of the utility of these components in convincing the audience; style and oratorical skills will be evaluated and noted, but not be part of the grade assessment.</w:t>
      </w:r>
    </w:p>
    <w:p w:rsidR="00300430" w:rsidRPr="00E07BF6" w:rsidRDefault="00300430" w:rsidP="00300430">
      <w:pPr>
        <w:pStyle w:val="Normal1"/>
        <w:numPr>
          <w:ilvl w:val="0"/>
          <w:numId w:val="1"/>
        </w:numPr>
        <w:ind w:hanging="360"/>
        <w:rPr>
          <w:sz w:val="21"/>
          <w:szCs w:val="21"/>
        </w:rPr>
      </w:pPr>
      <w:r>
        <w:rPr>
          <w:rFonts w:eastAsia="Open Sans"/>
          <w:sz w:val="21"/>
          <w:szCs w:val="21"/>
        </w:rPr>
        <w:t>Final will be long question/</w:t>
      </w:r>
    </w:p>
    <w:p w:rsidR="00D67A18" w:rsidRDefault="00D67A18"/>
    <w:p w:rsidR="00300430" w:rsidRPr="00E07BF6" w:rsidRDefault="00300430" w:rsidP="00300430">
      <w:pPr>
        <w:pStyle w:val="Normal1"/>
        <w:rPr>
          <w:rFonts w:eastAsia="Open Sans"/>
          <w:sz w:val="21"/>
          <w:szCs w:val="21"/>
        </w:rPr>
      </w:pPr>
    </w:p>
    <w:tbl>
      <w:tblPr>
        <w:tblpPr w:leftFromText="180" w:rightFromText="180" w:vertAnchor="text" w:tblpY="1"/>
        <w:tblOverlap w:val="never"/>
        <w:tblW w:w="3780" w:type="dxa"/>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170"/>
        <w:gridCol w:w="2610"/>
      </w:tblGrid>
      <w:tr w:rsidR="00300430" w:rsidRPr="007A60A6" w:rsidTr="00AD1B49">
        <w:tc>
          <w:tcPr>
            <w:tcW w:w="1170" w:type="dxa"/>
            <w:tcMar>
              <w:top w:w="100" w:type="dxa"/>
              <w:left w:w="100" w:type="dxa"/>
              <w:bottom w:w="100" w:type="dxa"/>
              <w:right w:w="100" w:type="dxa"/>
            </w:tcMar>
          </w:tcPr>
          <w:p w:rsidR="00300430" w:rsidRPr="00E07BF6" w:rsidRDefault="00300430" w:rsidP="00211485">
            <w:pPr>
              <w:pStyle w:val="Normal1"/>
              <w:spacing w:line="288" w:lineRule="auto"/>
              <w:ind w:left="80" w:hanging="180"/>
              <w:jc w:val="center"/>
              <w:rPr>
                <w:rFonts w:eastAsia="Open Sans"/>
                <w:b/>
                <w:sz w:val="21"/>
                <w:szCs w:val="21"/>
              </w:rPr>
            </w:pPr>
            <w:r w:rsidRPr="00E07BF6">
              <w:rPr>
                <w:rFonts w:eastAsia="Open Sans"/>
                <w:b/>
                <w:sz w:val="21"/>
                <w:szCs w:val="21"/>
              </w:rPr>
              <w:t>Grade</w:t>
            </w:r>
          </w:p>
        </w:tc>
        <w:tc>
          <w:tcPr>
            <w:tcW w:w="2610" w:type="dxa"/>
            <w:tcMar>
              <w:top w:w="100" w:type="dxa"/>
              <w:left w:w="100" w:type="dxa"/>
              <w:bottom w:w="100" w:type="dxa"/>
              <w:right w:w="100" w:type="dxa"/>
            </w:tcMar>
          </w:tcPr>
          <w:p w:rsidR="00300430" w:rsidRPr="00E07BF6" w:rsidRDefault="00300430" w:rsidP="00211485">
            <w:pPr>
              <w:pStyle w:val="Normal1"/>
              <w:spacing w:line="288" w:lineRule="auto"/>
              <w:jc w:val="center"/>
              <w:rPr>
                <w:rFonts w:eastAsia="Open Sans"/>
                <w:b/>
                <w:sz w:val="21"/>
                <w:szCs w:val="21"/>
              </w:rPr>
            </w:pPr>
            <w:r w:rsidRPr="00E07BF6">
              <w:rPr>
                <w:rFonts w:eastAsia="Open Sans"/>
                <w:b/>
                <w:sz w:val="21"/>
                <w:szCs w:val="21"/>
              </w:rPr>
              <w:t>Percentage Interval</w:t>
            </w:r>
            <w:bookmarkStart w:id="10" w:name="_GoBack"/>
            <w:bookmarkEnd w:id="10"/>
          </w:p>
        </w:tc>
      </w:tr>
      <w:tr w:rsidR="00300430" w:rsidRPr="007A60A6" w:rsidTr="00AD1B49">
        <w:tc>
          <w:tcPr>
            <w:tcW w:w="1170" w:type="dxa"/>
            <w:tcMar>
              <w:top w:w="100" w:type="dxa"/>
              <w:left w:w="100" w:type="dxa"/>
              <w:bottom w:w="100" w:type="dxa"/>
              <w:right w:w="100" w:type="dxa"/>
            </w:tcMar>
          </w:tcPr>
          <w:p w:rsidR="00300430" w:rsidRPr="00E07BF6" w:rsidRDefault="00300430" w:rsidP="00AD1B49">
            <w:pPr>
              <w:pStyle w:val="Normal1"/>
              <w:spacing w:line="288" w:lineRule="auto"/>
              <w:ind w:left="80" w:hanging="180"/>
              <w:rPr>
                <w:rFonts w:eastAsia="Open Sans"/>
                <w:sz w:val="21"/>
                <w:szCs w:val="21"/>
              </w:rPr>
            </w:pPr>
            <w:r w:rsidRPr="00E07BF6">
              <w:rPr>
                <w:rFonts w:eastAsia="Open Sans"/>
                <w:sz w:val="21"/>
                <w:szCs w:val="21"/>
              </w:rPr>
              <w:t>A</w:t>
            </w:r>
          </w:p>
        </w:tc>
        <w:tc>
          <w:tcPr>
            <w:tcW w:w="2610" w:type="dxa"/>
            <w:tcMar>
              <w:top w:w="100" w:type="dxa"/>
              <w:left w:w="100" w:type="dxa"/>
              <w:bottom w:w="100" w:type="dxa"/>
              <w:right w:w="100" w:type="dxa"/>
            </w:tcMar>
          </w:tcPr>
          <w:p w:rsidR="00300430" w:rsidRPr="00E07BF6" w:rsidRDefault="00300430" w:rsidP="00AD1B49">
            <w:pPr>
              <w:pStyle w:val="Normal1"/>
              <w:spacing w:line="288" w:lineRule="auto"/>
              <w:rPr>
                <w:rFonts w:eastAsia="Open Sans"/>
                <w:sz w:val="21"/>
                <w:szCs w:val="21"/>
              </w:rPr>
            </w:pPr>
            <w:r w:rsidRPr="00E07BF6">
              <w:rPr>
                <w:rFonts w:eastAsia="Open Sans"/>
                <w:sz w:val="21"/>
                <w:szCs w:val="21"/>
              </w:rPr>
              <w:t xml:space="preserve">90-100% </w:t>
            </w:r>
          </w:p>
        </w:tc>
      </w:tr>
      <w:tr w:rsidR="00300430" w:rsidRPr="007A60A6" w:rsidTr="00AD1B49">
        <w:tc>
          <w:tcPr>
            <w:tcW w:w="1170" w:type="dxa"/>
            <w:tcMar>
              <w:top w:w="100" w:type="dxa"/>
              <w:left w:w="100" w:type="dxa"/>
              <w:bottom w:w="100" w:type="dxa"/>
              <w:right w:w="100" w:type="dxa"/>
            </w:tcMar>
          </w:tcPr>
          <w:p w:rsidR="00300430" w:rsidRPr="00E07BF6" w:rsidRDefault="00300430" w:rsidP="00AD1B49">
            <w:pPr>
              <w:pStyle w:val="Normal1"/>
              <w:spacing w:line="288" w:lineRule="auto"/>
              <w:ind w:left="80" w:hanging="180"/>
              <w:rPr>
                <w:rFonts w:eastAsia="Open Sans"/>
                <w:sz w:val="21"/>
                <w:szCs w:val="21"/>
              </w:rPr>
            </w:pPr>
            <w:r w:rsidRPr="00E07BF6">
              <w:rPr>
                <w:rFonts w:eastAsia="Open Sans"/>
                <w:sz w:val="21"/>
                <w:szCs w:val="21"/>
              </w:rPr>
              <w:t>B</w:t>
            </w:r>
          </w:p>
        </w:tc>
        <w:tc>
          <w:tcPr>
            <w:tcW w:w="2610" w:type="dxa"/>
            <w:tcMar>
              <w:top w:w="100" w:type="dxa"/>
              <w:left w:w="100" w:type="dxa"/>
              <w:bottom w:w="100" w:type="dxa"/>
              <w:right w:w="100" w:type="dxa"/>
            </w:tcMar>
          </w:tcPr>
          <w:p w:rsidR="00300430" w:rsidRPr="00E07BF6" w:rsidRDefault="00300430" w:rsidP="00AD1B49">
            <w:pPr>
              <w:pStyle w:val="Normal1"/>
              <w:spacing w:line="288" w:lineRule="auto"/>
              <w:rPr>
                <w:rFonts w:eastAsia="Open Sans"/>
                <w:sz w:val="21"/>
                <w:szCs w:val="21"/>
              </w:rPr>
            </w:pPr>
            <w:r>
              <w:rPr>
                <w:rFonts w:eastAsia="Open Sans"/>
                <w:sz w:val="21"/>
                <w:szCs w:val="21"/>
              </w:rPr>
              <w:t>80-89%</w:t>
            </w:r>
          </w:p>
        </w:tc>
      </w:tr>
      <w:tr w:rsidR="00300430" w:rsidRPr="007A60A6" w:rsidTr="00AD1B49">
        <w:tc>
          <w:tcPr>
            <w:tcW w:w="1170" w:type="dxa"/>
            <w:tcMar>
              <w:top w:w="100" w:type="dxa"/>
              <w:left w:w="100" w:type="dxa"/>
              <w:bottom w:w="100" w:type="dxa"/>
              <w:right w:w="100" w:type="dxa"/>
            </w:tcMar>
          </w:tcPr>
          <w:p w:rsidR="00300430" w:rsidRPr="00E07BF6" w:rsidRDefault="00300430" w:rsidP="00AD1B49">
            <w:pPr>
              <w:pStyle w:val="Normal1"/>
              <w:spacing w:line="288" w:lineRule="auto"/>
              <w:ind w:left="80" w:hanging="180"/>
              <w:rPr>
                <w:rFonts w:eastAsia="Open Sans"/>
                <w:sz w:val="21"/>
                <w:szCs w:val="21"/>
              </w:rPr>
            </w:pPr>
            <w:r w:rsidRPr="00E07BF6">
              <w:rPr>
                <w:rFonts w:eastAsia="Open Sans"/>
                <w:sz w:val="21"/>
                <w:szCs w:val="21"/>
              </w:rPr>
              <w:t>C</w:t>
            </w:r>
          </w:p>
        </w:tc>
        <w:tc>
          <w:tcPr>
            <w:tcW w:w="2610" w:type="dxa"/>
            <w:tcMar>
              <w:top w:w="100" w:type="dxa"/>
              <w:left w:w="100" w:type="dxa"/>
              <w:bottom w:w="100" w:type="dxa"/>
              <w:right w:w="100" w:type="dxa"/>
            </w:tcMar>
          </w:tcPr>
          <w:p w:rsidR="00300430" w:rsidRPr="00E07BF6" w:rsidRDefault="00300430" w:rsidP="00AD1B49">
            <w:pPr>
              <w:pStyle w:val="Normal1"/>
              <w:spacing w:line="288" w:lineRule="auto"/>
              <w:rPr>
                <w:rFonts w:eastAsia="Open Sans"/>
                <w:sz w:val="21"/>
                <w:szCs w:val="21"/>
              </w:rPr>
            </w:pPr>
            <w:r>
              <w:rPr>
                <w:rFonts w:eastAsia="Open Sans"/>
                <w:sz w:val="21"/>
                <w:szCs w:val="21"/>
              </w:rPr>
              <w:t>70-79</w:t>
            </w:r>
          </w:p>
        </w:tc>
      </w:tr>
      <w:tr w:rsidR="00300430" w:rsidRPr="007A60A6" w:rsidTr="00AD1B49">
        <w:tc>
          <w:tcPr>
            <w:tcW w:w="1170" w:type="dxa"/>
            <w:tcMar>
              <w:top w:w="100" w:type="dxa"/>
              <w:left w:w="100" w:type="dxa"/>
              <w:bottom w:w="100" w:type="dxa"/>
              <w:right w:w="100" w:type="dxa"/>
            </w:tcMar>
          </w:tcPr>
          <w:p w:rsidR="00300430" w:rsidRPr="00E07BF6" w:rsidRDefault="00300430" w:rsidP="00AD1B49">
            <w:pPr>
              <w:pStyle w:val="Normal1"/>
              <w:spacing w:line="288" w:lineRule="auto"/>
              <w:ind w:left="80" w:hanging="180"/>
              <w:rPr>
                <w:rFonts w:eastAsia="Open Sans"/>
                <w:sz w:val="21"/>
                <w:szCs w:val="21"/>
              </w:rPr>
            </w:pPr>
            <w:r w:rsidRPr="00E07BF6">
              <w:rPr>
                <w:rFonts w:eastAsia="Open Sans"/>
                <w:sz w:val="21"/>
                <w:szCs w:val="21"/>
              </w:rPr>
              <w:t>D</w:t>
            </w:r>
          </w:p>
        </w:tc>
        <w:tc>
          <w:tcPr>
            <w:tcW w:w="2610" w:type="dxa"/>
            <w:tcMar>
              <w:top w:w="100" w:type="dxa"/>
              <w:left w:w="100" w:type="dxa"/>
              <w:bottom w:w="100" w:type="dxa"/>
              <w:right w:w="100" w:type="dxa"/>
            </w:tcMar>
          </w:tcPr>
          <w:p w:rsidR="00300430" w:rsidRPr="00E07BF6" w:rsidRDefault="00300430" w:rsidP="00AD1B49">
            <w:pPr>
              <w:pStyle w:val="Normal1"/>
              <w:spacing w:line="288" w:lineRule="auto"/>
              <w:rPr>
                <w:rFonts w:eastAsia="Open Sans"/>
                <w:sz w:val="21"/>
                <w:szCs w:val="21"/>
              </w:rPr>
            </w:pPr>
            <w:r>
              <w:rPr>
                <w:rFonts w:eastAsia="Open Sans"/>
                <w:sz w:val="21"/>
                <w:szCs w:val="21"/>
              </w:rPr>
              <w:t>60-69%</w:t>
            </w:r>
          </w:p>
        </w:tc>
      </w:tr>
      <w:tr w:rsidR="00300430" w:rsidRPr="007A60A6" w:rsidTr="00AD1B49">
        <w:tc>
          <w:tcPr>
            <w:tcW w:w="1170" w:type="dxa"/>
            <w:tcMar>
              <w:top w:w="100" w:type="dxa"/>
              <w:left w:w="100" w:type="dxa"/>
              <w:bottom w:w="100" w:type="dxa"/>
              <w:right w:w="100" w:type="dxa"/>
            </w:tcMar>
          </w:tcPr>
          <w:p w:rsidR="00300430" w:rsidRPr="00E07BF6" w:rsidRDefault="00300430" w:rsidP="00AD1B49">
            <w:pPr>
              <w:pStyle w:val="Normal1"/>
              <w:spacing w:line="288" w:lineRule="auto"/>
              <w:ind w:left="80" w:hanging="180"/>
              <w:rPr>
                <w:rFonts w:eastAsia="Open Sans"/>
                <w:sz w:val="21"/>
                <w:szCs w:val="21"/>
              </w:rPr>
            </w:pPr>
            <w:r w:rsidRPr="00E07BF6">
              <w:rPr>
                <w:rFonts w:eastAsia="Open Sans"/>
                <w:sz w:val="21"/>
                <w:szCs w:val="21"/>
              </w:rPr>
              <w:t>F</w:t>
            </w:r>
          </w:p>
        </w:tc>
        <w:tc>
          <w:tcPr>
            <w:tcW w:w="2610" w:type="dxa"/>
            <w:tcMar>
              <w:top w:w="100" w:type="dxa"/>
              <w:left w:w="100" w:type="dxa"/>
              <w:bottom w:w="100" w:type="dxa"/>
              <w:right w:w="100" w:type="dxa"/>
            </w:tcMar>
          </w:tcPr>
          <w:p w:rsidR="00300430" w:rsidRPr="00E07BF6" w:rsidRDefault="00300430" w:rsidP="00AD1B49">
            <w:pPr>
              <w:pStyle w:val="Normal1"/>
              <w:spacing w:line="288" w:lineRule="auto"/>
              <w:rPr>
                <w:rFonts w:eastAsia="Open Sans"/>
                <w:sz w:val="21"/>
                <w:szCs w:val="21"/>
              </w:rPr>
            </w:pPr>
            <w:r>
              <w:rPr>
                <w:rFonts w:eastAsia="Open Sans"/>
                <w:sz w:val="21"/>
                <w:szCs w:val="21"/>
              </w:rPr>
              <w:t>&lt;60%</w:t>
            </w:r>
          </w:p>
        </w:tc>
      </w:tr>
    </w:tbl>
    <w:p w:rsidR="00300430" w:rsidRDefault="00AD1B49">
      <w:r>
        <w:br w:type="textWrapping" w:clear="all"/>
      </w:r>
    </w:p>
    <w:p w:rsidR="000A4279" w:rsidRPr="003F7DCA" w:rsidRDefault="000A4279" w:rsidP="000A4279">
      <w:pPr>
        <w:pStyle w:val="Heading1"/>
        <w:rPr>
          <w:rFonts w:eastAsia="Open Sans"/>
          <w:b/>
          <w:color w:val="B8872B"/>
          <w:sz w:val="21"/>
          <w:szCs w:val="21"/>
        </w:rPr>
      </w:pPr>
      <w:r w:rsidRPr="003F7DCA">
        <w:rPr>
          <w:rFonts w:eastAsia="Open Sans"/>
          <w:b/>
          <w:color w:val="B8872B"/>
          <w:sz w:val="21"/>
          <w:szCs w:val="21"/>
        </w:rPr>
        <w:t>Grading Policies</w:t>
      </w:r>
    </w:p>
    <w:p w:rsidR="000A4279" w:rsidRPr="00E07BF6" w:rsidRDefault="000A4279" w:rsidP="000A4279">
      <w:pPr>
        <w:pStyle w:val="Normal1"/>
        <w:numPr>
          <w:ilvl w:val="0"/>
          <w:numId w:val="2"/>
        </w:numPr>
        <w:ind w:hanging="360"/>
        <w:contextualSpacing/>
        <w:rPr>
          <w:sz w:val="21"/>
          <w:szCs w:val="21"/>
        </w:rPr>
      </w:pPr>
      <w:r w:rsidRPr="00E07BF6">
        <w:rPr>
          <w:rFonts w:eastAsia="Open Sans"/>
          <w:b/>
          <w:sz w:val="21"/>
          <w:szCs w:val="21"/>
        </w:rPr>
        <w:t>Late-work policy</w:t>
      </w:r>
      <w:r w:rsidRPr="00E07BF6">
        <w:rPr>
          <w:rFonts w:eastAsia="Open Sans"/>
          <w:sz w:val="21"/>
          <w:szCs w:val="21"/>
        </w:rPr>
        <w:t xml:space="preserve">: </w:t>
      </w:r>
      <w:r>
        <w:rPr>
          <w:rFonts w:eastAsia="Open Sans"/>
          <w:sz w:val="21"/>
          <w:szCs w:val="21"/>
        </w:rPr>
        <w:t xml:space="preserve">Late work will be accepted with a negotiated reduction in grade at an amount determined </w:t>
      </w:r>
      <w:r>
        <w:rPr>
          <w:rFonts w:eastAsia="Open Sans"/>
          <w:sz w:val="21"/>
          <w:szCs w:val="21"/>
        </w:rPr>
        <w:lastRenderedPageBreak/>
        <w:t>solely by the Professor and at his unfettered discretion.</w:t>
      </w:r>
      <w:r w:rsidRPr="00E07BF6">
        <w:rPr>
          <w:rFonts w:eastAsia="Open Sans"/>
          <w:sz w:val="21"/>
          <w:szCs w:val="21"/>
        </w:rPr>
        <w:t xml:space="preserve"> </w:t>
      </w:r>
    </w:p>
    <w:p w:rsidR="000A4279" w:rsidRPr="00E07BF6" w:rsidRDefault="000A4279" w:rsidP="000A4279">
      <w:pPr>
        <w:pStyle w:val="Normal1"/>
        <w:numPr>
          <w:ilvl w:val="0"/>
          <w:numId w:val="2"/>
        </w:numPr>
        <w:ind w:hanging="360"/>
        <w:contextualSpacing/>
        <w:rPr>
          <w:sz w:val="21"/>
          <w:szCs w:val="21"/>
        </w:rPr>
      </w:pPr>
      <w:r w:rsidRPr="00E07BF6">
        <w:rPr>
          <w:rFonts w:eastAsia="Open Sans"/>
          <w:b/>
          <w:sz w:val="21"/>
          <w:szCs w:val="21"/>
        </w:rPr>
        <w:t>Make-up work policy</w:t>
      </w:r>
      <w:r w:rsidRPr="00E07BF6">
        <w:rPr>
          <w:rFonts w:eastAsia="Open Sans"/>
          <w:sz w:val="21"/>
          <w:szCs w:val="21"/>
        </w:rPr>
        <w:t xml:space="preserve">: </w:t>
      </w:r>
      <w:r>
        <w:rPr>
          <w:rFonts w:eastAsia="Open Sans"/>
          <w:sz w:val="21"/>
          <w:szCs w:val="21"/>
        </w:rPr>
        <w:t xml:space="preserve">I will </w:t>
      </w:r>
      <w:r w:rsidRPr="00E07BF6">
        <w:rPr>
          <w:rFonts w:eastAsia="Open Sans"/>
          <w:sz w:val="21"/>
          <w:szCs w:val="21"/>
        </w:rPr>
        <w:t>allow students to make-up assignments and/or assessments</w:t>
      </w:r>
      <w:r w:rsidRPr="00CE19D5">
        <w:rPr>
          <w:rFonts w:eastAsia="Open Sans"/>
          <w:sz w:val="21"/>
          <w:szCs w:val="21"/>
        </w:rPr>
        <w:t xml:space="preserve"> </w:t>
      </w:r>
      <w:r>
        <w:rPr>
          <w:rFonts w:eastAsia="Open Sans"/>
          <w:sz w:val="21"/>
          <w:szCs w:val="21"/>
        </w:rPr>
        <w:t>with a negotiated reduction in grade at an amount determined solely by the Professor and at his unfettered discretion.</w:t>
      </w:r>
    </w:p>
    <w:p w:rsidR="000A4279" w:rsidRPr="000A4279" w:rsidRDefault="000A4279" w:rsidP="000A4279">
      <w:pPr>
        <w:pStyle w:val="Normal1"/>
        <w:numPr>
          <w:ilvl w:val="0"/>
          <w:numId w:val="2"/>
        </w:numPr>
        <w:ind w:hanging="360"/>
        <w:contextualSpacing/>
        <w:rPr>
          <w:sz w:val="21"/>
          <w:szCs w:val="21"/>
        </w:rPr>
      </w:pPr>
      <w:r w:rsidRPr="00E07BF6">
        <w:rPr>
          <w:rFonts w:eastAsia="Open Sans"/>
          <w:b/>
          <w:sz w:val="21"/>
          <w:szCs w:val="21"/>
        </w:rPr>
        <w:t>Re-grade policy</w:t>
      </w:r>
      <w:r w:rsidRPr="00E07BF6">
        <w:rPr>
          <w:rFonts w:eastAsia="Open Sans"/>
          <w:sz w:val="21"/>
          <w:szCs w:val="21"/>
        </w:rPr>
        <w:t xml:space="preserve">: </w:t>
      </w:r>
      <w:r w:rsidRPr="00E07BF6">
        <w:rPr>
          <w:rFonts w:eastAsia="Times New Roman"/>
          <w:sz w:val="21"/>
          <w:szCs w:val="21"/>
        </w:rPr>
        <w:t xml:space="preserve"> </w:t>
      </w:r>
      <w:r>
        <w:rPr>
          <w:rFonts w:eastAsia="Open Sans"/>
          <w:sz w:val="21"/>
          <w:szCs w:val="21"/>
        </w:rPr>
        <w:t xml:space="preserve">I will consider an appeal of any grade I </w:t>
      </w:r>
      <w:proofErr w:type="gramStart"/>
      <w:r>
        <w:rPr>
          <w:rFonts w:eastAsia="Open Sans"/>
          <w:sz w:val="21"/>
          <w:szCs w:val="21"/>
        </w:rPr>
        <w:t>give,</w:t>
      </w:r>
      <w:proofErr w:type="gramEnd"/>
      <w:r>
        <w:rPr>
          <w:rFonts w:eastAsia="Open Sans"/>
          <w:sz w:val="21"/>
          <w:szCs w:val="21"/>
        </w:rPr>
        <w:t xml:space="preserve"> I am not inclined to raise a grade once it is given.</w:t>
      </w:r>
    </w:p>
    <w:p w:rsidR="000A4279" w:rsidRPr="00E07BF6" w:rsidRDefault="000A4279" w:rsidP="000A4279">
      <w:pPr>
        <w:pStyle w:val="Normal1"/>
        <w:numPr>
          <w:ilvl w:val="0"/>
          <w:numId w:val="2"/>
        </w:numPr>
        <w:ind w:hanging="360"/>
        <w:contextualSpacing/>
        <w:rPr>
          <w:sz w:val="21"/>
          <w:szCs w:val="21"/>
        </w:rPr>
      </w:pPr>
      <w:r w:rsidRPr="00E07BF6">
        <w:rPr>
          <w:rFonts w:eastAsia="Open Sans"/>
          <w:b/>
          <w:sz w:val="21"/>
          <w:szCs w:val="21"/>
        </w:rPr>
        <w:t>Attendance and/or participation policy</w:t>
      </w:r>
      <w:r w:rsidRPr="00E07BF6">
        <w:rPr>
          <w:rFonts w:eastAsia="Open Sans"/>
          <w:sz w:val="21"/>
          <w:szCs w:val="21"/>
        </w:rPr>
        <w:t xml:space="preserve">: </w:t>
      </w:r>
      <w:r>
        <w:rPr>
          <w:rFonts w:eastAsia="Open Sans"/>
          <w:sz w:val="21"/>
          <w:szCs w:val="21"/>
        </w:rPr>
        <w:t>As a graduate course, attendance is entirely up to the student, but most of the material will derive from classroom instruction and a seminar-like give and take.  Slides will be made available to all in the class</w:t>
      </w:r>
      <w:r w:rsidRPr="00E07BF6">
        <w:rPr>
          <w:rFonts w:eastAsia="Open Sans"/>
          <w:sz w:val="21"/>
          <w:szCs w:val="21"/>
        </w:rPr>
        <w:t xml:space="preserve"> </w:t>
      </w:r>
    </w:p>
    <w:p w:rsidR="000A4279" w:rsidRPr="003F7DCA" w:rsidRDefault="000A4279" w:rsidP="000A4279">
      <w:pPr>
        <w:pStyle w:val="Heading1"/>
        <w:rPr>
          <w:rFonts w:eastAsia="Open Sans"/>
          <w:b/>
          <w:color w:val="B8872B"/>
          <w:sz w:val="21"/>
          <w:szCs w:val="21"/>
        </w:rPr>
      </w:pPr>
      <w:r w:rsidRPr="003F7DCA">
        <w:rPr>
          <w:rFonts w:eastAsia="Open Sans"/>
          <w:b/>
          <w:color w:val="B8872B"/>
          <w:sz w:val="21"/>
          <w:szCs w:val="21"/>
        </w:rPr>
        <w:t>Course Policies</w:t>
      </w:r>
    </w:p>
    <w:p w:rsidR="000A4279" w:rsidRPr="00E07BF6" w:rsidRDefault="000A4279" w:rsidP="00DA7134">
      <w:pPr>
        <w:pStyle w:val="Normal1"/>
        <w:numPr>
          <w:ilvl w:val="0"/>
          <w:numId w:val="3"/>
        </w:numPr>
        <w:pBdr>
          <w:bottom w:val="nil"/>
        </w:pBdr>
        <w:ind w:hanging="360"/>
        <w:contextualSpacing/>
        <w:rPr>
          <w:sz w:val="21"/>
          <w:szCs w:val="21"/>
        </w:rPr>
      </w:pPr>
      <w:r w:rsidRPr="00E07BF6">
        <w:rPr>
          <w:rFonts w:eastAsia="Open Sans"/>
          <w:b/>
          <w:sz w:val="21"/>
          <w:szCs w:val="21"/>
        </w:rPr>
        <w:t>Attendance &amp; Participation</w:t>
      </w:r>
      <w:r w:rsidRPr="00E07BF6">
        <w:rPr>
          <w:rFonts w:eastAsia="Open Sans"/>
          <w:sz w:val="21"/>
          <w:szCs w:val="21"/>
        </w:rPr>
        <w:t xml:space="preserve"> </w:t>
      </w:r>
      <w:r>
        <w:rPr>
          <w:rFonts w:eastAsia="Open Sans"/>
          <w:sz w:val="21"/>
          <w:szCs w:val="21"/>
        </w:rPr>
        <w:t>Personal attendance is required for the short (5 minute) Proposal idea pitch.</w:t>
      </w:r>
      <w:r w:rsidRPr="006B313D">
        <w:rPr>
          <w:rFonts w:eastAsia="Open Sans"/>
          <w:sz w:val="21"/>
          <w:szCs w:val="21"/>
        </w:rPr>
        <w:t xml:space="preserve"> </w:t>
      </w:r>
    </w:p>
    <w:p w:rsidR="000A4279" w:rsidRPr="00E07BF6" w:rsidRDefault="000A4279" w:rsidP="00DA7134">
      <w:pPr>
        <w:pStyle w:val="Normal1"/>
        <w:numPr>
          <w:ilvl w:val="0"/>
          <w:numId w:val="3"/>
        </w:numPr>
        <w:pBdr>
          <w:bottom w:val="nil"/>
        </w:pBdr>
        <w:ind w:hanging="360"/>
        <w:contextualSpacing/>
        <w:rPr>
          <w:rFonts w:eastAsia="Open Sans"/>
          <w:sz w:val="21"/>
          <w:szCs w:val="21"/>
        </w:rPr>
      </w:pPr>
      <w:r w:rsidRPr="00E07BF6">
        <w:rPr>
          <w:rFonts w:eastAsia="Open Sans"/>
          <w:b/>
          <w:sz w:val="21"/>
          <w:szCs w:val="21"/>
        </w:rPr>
        <w:t>Academic Integrity &amp; Collaboration</w:t>
      </w:r>
      <w:r>
        <w:rPr>
          <w:rFonts w:eastAsia="Open Sans"/>
          <w:sz w:val="21"/>
          <w:szCs w:val="21"/>
        </w:rPr>
        <w:t xml:space="preserve">: </w:t>
      </w:r>
      <w:proofErr w:type="spellStart"/>
      <w:r>
        <w:rPr>
          <w:rFonts w:eastAsia="Open Sans"/>
          <w:sz w:val="21"/>
          <w:szCs w:val="21"/>
        </w:rPr>
        <w:t>Plagerism</w:t>
      </w:r>
      <w:proofErr w:type="spellEnd"/>
      <w:r>
        <w:rPr>
          <w:rFonts w:eastAsia="Open Sans"/>
          <w:sz w:val="21"/>
          <w:szCs w:val="21"/>
        </w:rPr>
        <w:t xml:space="preserve"> is not acceptable in this University. Constructive </w:t>
      </w:r>
      <w:proofErr w:type="gramStart"/>
      <w:r>
        <w:rPr>
          <w:rFonts w:eastAsia="Open Sans"/>
          <w:sz w:val="21"/>
          <w:szCs w:val="21"/>
        </w:rPr>
        <w:t>collaboration,</w:t>
      </w:r>
      <w:proofErr w:type="gramEnd"/>
      <w:r>
        <w:rPr>
          <w:rFonts w:eastAsia="Open Sans"/>
          <w:sz w:val="21"/>
          <w:szCs w:val="21"/>
        </w:rPr>
        <w:t xml:space="preserve"> duly noted in the product, is a way of life in the "real world" and should be emulated, but not required, here.</w:t>
      </w:r>
      <w:r w:rsidRPr="00910ABA">
        <w:rPr>
          <w:rFonts w:eastAsia="Open Sans"/>
          <w:sz w:val="21"/>
          <w:szCs w:val="21"/>
        </w:rPr>
        <w:t xml:space="preserve"> </w:t>
      </w:r>
    </w:p>
    <w:p w:rsidR="000A4279" w:rsidRPr="00E07BF6" w:rsidRDefault="000A4279" w:rsidP="00DA7134">
      <w:pPr>
        <w:pStyle w:val="Normal1"/>
        <w:numPr>
          <w:ilvl w:val="0"/>
          <w:numId w:val="3"/>
        </w:numPr>
        <w:pBdr>
          <w:bottom w:val="nil"/>
        </w:pBdr>
        <w:ind w:hanging="360"/>
        <w:contextualSpacing/>
        <w:rPr>
          <w:rFonts w:eastAsia="Open Sans"/>
          <w:sz w:val="21"/>
          <w:szCs w:val="21"/>
        </w:rPr>
      </w:pPr>
      <w:r w:rsidRPr="00E07BF6">
        <w:rPr>
          <w:rFonts w:eastAsia="Open Sans"/>
          <w:b/>
          <w:sz w:val="21"/>
          <w:szCs w:val="21"/>
        </w:rPr>
        <w:t>Late-work</w:t>
      </w:r>
      <w:r>
        <w:rPr>
          <w:rFonts w:eastAsia="Open Sans"/>
          <w:b/>
          <w:sz w:val="21"/>
          <w:szCs w:val="21"/>
        </w:rPr>
        <w:t>/Make-up work</w:t>
      </w:r>
      <w:r w:rsidRPr="00E07BF6">
        <w:rPr>
          <w:rFonts w:eastAsia="Open Sans"/>
          <w:b/>
          <w:sz w:val="21"/>
          <w:szCs w:val="21"/>
        </w:rPr>
        <w:t xml:space="preserve"> policy</w:t>
      </w:r>
      <w:proofErr w:type="gramStart"/>
      <w:r w:rsidRPr="006B313D">
        <w:rPr>
          <w:rFonts w:eastAsia="Open Sans"/>
          <w:sz w:val="21"/>
          <w:szCs w:val="21"/>
        </w:rPr>
        <w:t xml:space="preserve">: </w:t>
      </w:r>
      <w:r w:rsidRPr="00E07BF6">
        <w:rPr>
          <w:rFonts w:eastAsia="Open Sans"/>
          <w:sz w:val="21"/>
          <w:szCs w:val="21"/>
        </w:rPr>
        <w:t>:</w:t>
      </w:r>
      <w:proofErr w:type="gramEnd"/>
      <w:r w:rsidRPr="00E07BF6">
        <w:rPr>
          <w:rFonts w:eastAsia="Open Sans"/>
          <w:sz w:val="21"/>
          <w:szCs w:val="21"/>
        </w:rPr>
        <w:t xml:space="preserve"> </w:t>
      </w:r>
      <w:r>
        <w:rPr>
          <w:rFonts w:eastAsia="Open Sans"/>
          <w:sz w:val="21"/>
          <w:szCs w:val="21"/>
        </w:rPr>
        <w:t xml:space="preserve">I will </w:t>
      </w:r>
      <w:r w:rsidRPr="00E07BF6">
        <w:rPr>
          <w:rFonts w:eastAsia="Open Sans"/>
          <w:sz w:val="21"/>
          <w:szCs w:val="21"/>
        </w:rPr>
        <w:t>allow students to make-up assignments and/or assessments</w:t>
      </w:r>
      <w:r w:rsidRPr="00CE19D5">
        <w:rPr>
          <w:rFonts w:eastAsia="Open Sans"/>
          <w:sz w:val="21"/>
          <w:szCs w:val="21"/>
        </w:rPr>
        <w:t xml:space="preserve"> </w:t>
      </w:r>
      <w:r>
        <w:rPr>
          <w:rFonts w:eastAsia="Open Sans"/>
          <w:sz w:val="21"/>
          <w:szCs w:val="21"/>
        </w:rPr>
        <w:t>with a negotiated reduction in grade at an amount determined solely by the Professor and at his unfettered discretion.</w:t>
      </w:r>
    </w:p>
    <w:p w:rsidR="000A4279" w:rsidRPr="00742B55" w:rsidRDefault="000A4279" w:rsidP="00DA7134">
      <w:pPr>
        <w:pStyle w:val="ListParagraph"/>
        <w:numPr>
          <w:ilvl w:val="0"/>
          <w:numId w:val="3"/>
        </w:numPr>
        <w:pBdr>
          <w:bottom w:val="nil"/>
        </w:pBdr>
        <w:ind w:hanging="360"/>
        <w:rPr>
          <w:rFonts w:eastAsia="Open Sans"/>
          <w:sz w:val="21"/>
          <w:szCs w:val="21"/>
        </w:rPr>
      </w:pPr>
      <w:r w:rsidRPr="00E07BF6">
        <w:rPr>
          <w:rFonts w:eastAsia="Open Sans"/>
          <w:b/>
          <w:sz w:val="21"/>
          <w:szCs w:val="21"/>
        </w:rPr>
        <w:t>Accommodations for students wi</w:t>
      </w:r>
      <w:r w:rsidRPr="00742B55">
        <w:rPr>
          <w:rFonts w:eastAsia="Open Sans"/>
          <w:b/>
          <w:sz w:val="21"/>
          <w:szCs w:val="21"/>
        </w:rPr>
        <w:t>th disabilities</w:t>
      </w:r>
      <w:r w:rsidRPr="00742B55">
        <w:rPr>
          <w:rFonts w:eastAsia="Open Sans"/>
          <w:sz w:val="21"/>
          <w:szCs w:val="21"/>
        </w:rPr>
        <w:t xml:space="preserve">: If you have a disability and require accommodations, please contact me, </w:t>
      </w:r>
      <w:hyperlink r:id="rId9" w:history="1">
        <w:r w:rsidRPr="00742B55">
          <w:rPr>
            <w:rStyle w:val="Hyperlink"/>
            <w:rFonts w:eastAsia="Open Sans"/>
            <w:sz w:val="21"/>
            <w:szCs w:val="21"/>
          </w:rPr>
          <w:t>ddavis@catholicpolytechnic.org</w:t>
        </w:r>
      </w:hyperlink>
      <w:r w:rsidRPr="00742B55">
        <w:rPr>
          <w:rFonts w:eastAsia="Open Sans"/>
          <w:sz w:val="21"/>
          <w:szCs w:val="21"/>
        </w:rPr>
        <w:t xml:space="preserve">, </w:t>
      </w:r>
      <w:proofErr w:type="gramStart"/>
      <w:r w:rsidRPr="00742B55">
        <w:rPr>
          <w:rFonts w:eastAsia="Open Sans"/>
          <w:sz w:val="21"/>
          <w:szCs w:val="21"/>
        </w:rPr>
        <w:t>310</w:t>
      </w:r>
      <w:proofErr w:type="gramEnd"/>
      <w:r w:rsidRPr="00742B55">
        <w:rPr>
          <w:rFonts w:eastAsia="Open Sans"/>
          <w:sz w:val="21"/>
          <w:szCs w:val="21"/>
        </w:rPr>
        <w:t xml:space="preserve"> 909-3487. If you have an accommodations letter, I encourage you to discuss your accommodations and needs with me as early in the semester as possible. I will work with you to ensure that accommodations are provided as appropriate.”</w:t>
      </w:r>
    </w:p>
    <w:p w:rsidR="000A4279" w:rsidRPr="00DA7134" w:rsidRDefault="000A4279" w:rsidP="00DA7134">
      <w:pPr>
        <w:pStyle w:val="ListParagraph"/>
        <w:numPr>
          <w:ilvl w:val="0"/>
          <w:numId w:val="3"/>
        </w:numPr>
        <w:pBdr>
          <w:bottom w:val="nil"/>
        </w:pBdr>
        <w:ind w:hanging="360"/>
        <w:rPr>
          <w:rFonts w:ascii="Times" w:eastAsia="Times New Roman" w:hAnsi="Times" w:cs="Times New Roman"/>
          <w:color w:val="auto"/>
        </w:rPr>
      </w:pPr>
      <w:r w:rsidRPr="00742B55">
        <w:rPr>
          <w:rFonts w:eastAsia="Open Sans"/>
          <w:b/>
          <w:sz w:val="21"/>
          <w:szCs w:val="21"/>
        </w:rPr>
        <w:t>Statement on student wellness</w:t>
      </w:r>
      <w:r w:rsidRPr="00742B55">
        <w:rPr>
          <w:rFonts w:eastAsia="Open Sans"/>
          <w:sz w:val="21"/>
          <w:szCs w:val="21"/>
        </w:rPr>
        <w:t xml:space="preserve">: As a student, you may experience a range of challenges that can interfere with learning, such as strained relationships, increased anxiety, substance use, </w:t>
      </w:r>
      <w:proofErr w:type="gramStart"/>
      <w:r w:rsidRPr="00742B55">
        <w:rPr>
          <w:rFonts w:eastAsia="Open Sans"/>
          <w:sz w:val="21"/>
          <w:szCs w:val="21"/>
        </w:rPr>
        <w:t>feeling</w:t>
      </w:r>
      <w:proofErr w:type="gramEnd"/>
      <w:r w:rsidRPr="00742B55">
        <w:rPr>
          <w:rFonts w:eastAsia="Open Sans"/>
          <w:sz w:val="21"/>
          <w:szCs w:val="21"/>
        </w:rPr>
        <w:t xml:space="preserve"> down, difficulty concentrating and/or lack of motivation. These mental health concerns or stressful events may diminish your academic performance and/or reduce your ability to participate in daily activities. CPU services will be made available, and treatment does work. You can learn more about confidential mental health services available </w:t>
      </w:r>
      <w:r w:rsidRPr="00DA7134">
        <w:rPr>
          <w:rFonts w:eastAsia="Open Sans"/>
          <w:sz w:val="21"/>
          <w:szCs w:val="21"/>
        </w:rPr>
        <w:t>on campus.”</w:t>
      </w:r>
    </w:p>
    <w:p w:rsidR="000A4279" w:rsidRPr="00E07BF6" w:rsidRDefault="000A4279" w:rsidP="000A4279">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ind w:hanging="360"/>
        <w:textAlignment w:val="baseline"/>
        <w:rPr>
          <w:sz w:val="21"/>
          <w:szCs w:val="21"/>
        </w:rPr>
      </w:pPr>
      <w:r w:rsidRPr="00E07BF6">
        <w:rPr>
          <w:rFonts w:eastAsia="Open Sans"/>
          <w:b/>
          <w:sz w:val="21"/>
          <w:szCs w:val="21"/>
        </w:rPr>
        <w:t>Mobile Devices</w:t>
      </w:r>
      <w:r>
        <w:rPr>
          <w:rFonts w:eastAsia="Open Sans"/>
          <w:sz w:val="21"/>
          <w:szCs w:val="21"/>
        </w:rPr>
        <w:t>: We are adults here. If you are expecting an important call, just put your phone on vibrate and quietly leave the room when called. Any other disruption is not conducive to good order and discipline!!</w:t>
      </w:r>
      <w:r w:rsidRPr="00E07BF6">
        <w:rPr>
          <w:rFonts w:eastAsia="Open Sans"/>
          <w:sz w:val="21"/>
          <w:szCs w:val="21"/>
        </w:rPr>
        <w:t xml:space="preserve"> </w:t>
      </w:r>
    </w:p>
    <w:p w:rsidR="000A4279" w:rsidRPr="00E07BF6" w:rsidRDefault="000A4279" w:rsidP="000A4279">
      <w:pPr>
        <w:pStyle w:val="Normal1"/>
        <w:rPr>
          <w:rFonts w:eastAsia="Open Sans"/>
          <w:sz w:val="21"/>
          <w:szCs w:val="21"/>
        </w:rPr>
      </w:pPr>
      <w:bookmarkStart w:id="11" w:name="_3rdcrjn" w:colFirst="0" w:colLast="0"/>
      <w:bookmarkEnd w:id="11"/>
    </w:p>
    <w:p w:rsidR="000A4279" w:rsidRPr="003F7DCA" w:rsidRDefault="000A4279" w:rsidP="000E198B">
      <w:pPr>
        <w:pStyle w:val="Heading1"/>
        <w:keepNext w:val="0"/>
        <w:keepLines w:val="0"/>
        <w:rPr>
          <w:color w:val="B8872B"/>
          <w:shd w:val="clear" w:color="auto" w:fill="C9DAF8"/>
        </w:rPr>
      </w:pPr>
      <w:r w:rsidRPr="003F7DCA">
        <w:rPr>
          <w:rFonts w:eastAsia="Open Sans"/>
          <w:b/>
          <w:color w:val="B8872B"/>
          <w:sz w:val="21"/>
          <w:szCs w:val="21"/>
        </w:rPr>
        <w:t>Course Schedule</w:t>
      </w:r>
    </w:p>
    <w:p w:rsidR="000A4279" w:rsidRDefault="000A4279">
      <w:pPr>
        <w:widowControl/>
        <w:pBdr>
          <w:top w:val="none" w:sz="0" w:space="0" w:color="auto"/>
          <w:left w:val="none" w:sz="0" w:space="0" w:color="auto"/>
          <w:bottom w:val="none" w:sz="0" w:space="0" w:color="auto"/>
          <w:right w:val="none" w:sz="0" w:space="0" w:color="auto"/>
          <w:between w:val="none" w:sz="0" w:space="0" w:color="auto"/>
        </w:pBdr>
        <w:spacing w:before="120" w:line="187" w:lineRule="atLeast"/>
        <w:ind w:firstLine="158"/>
        <w:jc w:val="both"/>
      </w:pPr>
    </w:p>
    <w:p w:rsidR="000E198B" w:rsidRDefault="000E198B">
      <w:pPr>
        <w:widowControl/>
        <w:pBdr>
          <w:top w:val="none" w:sz="0" w:space="0" w:color="auto"/>
          <w:left w:val="none" w:sz="0" w:space="0" w:color="auto"/>
          <w:bottom w:val="none" w:sz="0" w:space="0" w:color="auto"/>
          <w:right w:val="none" w:sz="0" w:space="0" w:color="auto"/>
          <w:between w:val="none" w:sz="0" w:space="0" w:color="auto"/>
        </w:pBdr>
        <w:spacing w:before="120" w:line="187" w:lineRule="atLeast"/>
        <w:ind w:firstLine="158"/>
        <w:jc w:val="both"/>
      </w:pPr>
    </w:p>
    <w:tbl>
      <w:tblPr>
        <w:tblpPr w:leftFromText="180" w:rightFromText="180" w:vertAnchor="text" w:horzAnchor="margin" w:tblpY="-39"/>
        <w:tblW w:w="10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1075"/>
        <w:gridCol w:w="2160"/>
        <w:gridCol w:w="4685"/>
        <w:gridCol w:w="2610"/>
      </w:tblGrid>
      <w:tr w:rsidR="000A4279" w:rsidRPr="007A60A6" w:rsidTr="000E198B">
        <w:trPr>
          <w:cantSplit/>
        </w:trPr>
        <w:tc>
          <w:tcPr>
            <w:tcW w:w="1075" w:type="dxa"/>
            <w:shd w:val="clear" w:color="auto" w:fill="FFFFFF"/>
            <w:tcMar>
              <w:top w:w="100" w:type="dxa"/>
              <w:left w:w="100" w:type="dxa"/>
              <w:bottom w:w="100" w:type="dxa"/>
              <w:right w:w="100" w:type="dxa"/>
            </w:tcMar>
          </w:tcPr>
          <w:p w:rsidR="000A4279" w:rsidRPr="00E07BF6" w:rsidRDefault="000A4279" w:rsidP="009E0913">
            <w:pPr>
              <w:pStyle w:val="Normal1"/>
              <w:ind w:left="-100"/>
              <w:rPr>
                <w:rFonts w:eastAsia="Open Sans"/>
                <w:b/>
                <w:sz w:val="21"/>
                <w:szCs w:val="21"/>
              </w:rPr>
            </w:pPr>
            <w:r w:rsidRPr="00E07BF6">
              <w:rPr>
                <w:rFonts w:eastAsia="Open Sans"/>
                <w:b/>
                <w:sz w:val="21"/>
                <w:szCs w:val="21"/>
              </w:rPr>
              <w:t>Date</w:t>
            </w:r>
          </w:p>
        </w:tc>
        <w:tc>
          <w:tcPr>
            <w:tcW w:w="2160" w:type="dxa"/>
            <w:shd w:val="clear" w:color="auto" w:fill="FFFFFF"/>
            <w:tcMar>
              <w:top w:w="100" w:type="dxa"/>
              <w:left w:w="100" w:type="dxa"/>
              <w:bottom w:w="100" w:type="dxa"/>
              <w:right w:w="100" w:type="dxa"/>
            </w:tcMar>
          </w:tcPr>
          <w:p w:rsidR="000A4279" w:rsidRPr="00E07BF6" w:rsidRDefault="000A4279" w:rsidP="009E0913">
            <w:pPr>
              <w:pStyle w:val="Normal1"/>
              <w:rPr>
                <w:rFonts w:eastAsia="Open Sans"/>
                <w:b/>
                <w:sz w:val="21"/>
                <w:szCs w:val="21"/>
              </w:rPr>
            </w:pPr>
            <w:r w:rsidRPr="00E07BF6">
              <w:rPr>
                <w:rFonts w:eastAsia="Open Sans"/>
                <w:b/>
                <w:sz w:val="21"/>
                <w:szCs w:val="21"/>
              </w:rPr>
              <w:t>Theme/Topic</w:t>
            </w:r>
          </w:p>
        </w:tc>
        <w:tc>
          <w:tcPr>
            <w:tcW w:w="4685" w:type="dxa"/>
            <w:shd w:val="clear" w:color="auto" w:fill="FFFFFF"/>
            <w:tcMar>
              <w:top w:w="100" w:type="dxa"/>
              <w:left w:w="100" w:type="dxa"/>
              <w:bottom w:w="100" w:type="dxa"/>
              <w:right w:w="100" w:type="dxa"/>
            </w:tcMar>
          </w:tcPr>
          <w:p w:rsidR="000A4279" w:rsidRPr="00E07BF6" w:rsidRDefault="000A4279" w:rsidP="009E0913">
            <w:pPr>
              <w:pStyle w:val="Normal1"/>
              <w:rPr>
                <w:rFonts w:eastAsia="Open Sans"/>
                <w:b/>
                <w:sz w:val="21"/>
                <w:szCs w:val="21"/>
              </w:rPr>
            </w:pPr>
            <w:r w:rsidRPr="00E07BF6">
              <w:rPr>
                <w:rFonts w:eastAsia="Open Sans"/>
                <w:b/>
                <w:sz w:val="21"/>
                <w:szCs w:val="21"/>
              </w:rPr>
              <w:t>Learning Outcomes Addressed</w:t>
            </w:r>
          </w:p>
        </w:tc>
        <w:tc>
          <w:tcPr>
            <w:tcW w:w="2610" w:type="dxa"/>
            <w:shd w:val="clear" w:color="auto" w:fill="FFFFFF"/>
            <w:tcMar>
              <w:top w:w="100" w:type="dxa"/>
              <w:left w:w="100" w:type="dxa"/>
              <w:bottom w:w="100" w:type="dxa"/>
              <w:right w:w="100" w:type="dxa"/>
            </w:tcMar>
          </w:tcPr>
          <w:p w:rsidR="000A4279" w:rsidRPr="00E07BF6" w:rsidRDefault="000A4279" w:rsidP="009E0913">
            <w:pPr>
              <w:pStyle w:val="Normal1"/>
              <w:rPr>
                <w:rFonts w:eastAsia="Open Sans"/>
                <w:b/>
                <w:sz w:val="21"/>
                <w:szCs w:val="21"/>
              </w:rPr>
            </w:pPr>
            <w:r>
              <w:rPr>
                <w:rFonts w:eastAsia="Open Sans"/>
                <w:b/>
                <w:sz w:val="21"/>
                <w:szCs w:val="21"/>
              </w:rPr>
              <w:t>Lecturer/Class leader</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A4279" w:rsidP="009E0913">
            <w:pPr>
              <w:pStyle w:val="Normal1"/>
              <w:rPr>
                <w:rFonts w:eastAsia="Open Sans"/>
                <w:sz w:val="21"/>
                <w:szCs w:val="21"/>
              </w:rPr>
            </w:pPr>
            <w:r>
              <w:rPr>
                <w:rFonts w:eastAsia="Open Sans"/>
                <w:sz w:val="21"/>
                <w:szCs w:val="21"/>
              </w:rPr>
              <w:t>Week 1</w:t>
            </w:r>
          </w:p>
        </w:tc>
        <w:tc>
          <w:tcPr>
            <w:tcW w:w="2160" w:type="dxa"/>
            <w:tcMar>
              <w:top w:w="100" w:type="dxa"/>
              <w:left w:w="100" w:type="dxa"/>
              <w:bottom w:w="100" w:type="dxa"/>
              <w:right w:w="100" w:type="dxa"/>
            </w:tcMar>
          </w:tcPr>
          <w:p w:rsidR="000A4279" w:rsidRDefault="000A4279" w:rsidP="009E0913">
            <w:r>
              <w:t>Introduction to funding for research</w:t>
            </w:r>
          </w:p>
        </w:tc>
        <w:tc>
          <w:tcPr>
            <w:tcW w:w="4685" w:type="dxa"/>
            <w:tcMar>
              <w:top w:w="100" w:type="dxa"/>
              <w:left w:w="100" w:type="dxa"/>
              <w:bottom w:w="100" w:type="dxa"/>
              <w:right w:w="100" w:type="dxa"/>
            </w:tcMar>
          </w:tcPr>
          <w:p w:rsidR="000A4279" w:rsidRDefault="000A4279" w:rsidP="009E0913">
            <w:r>
              <w:t>Introduction of staff and students, course goals, required materials, identification of unique issues of interest, grading parameters, history and basis of research funding philosophies, funders’ organizations, basic accounting concepts, origin of funding types, trends, alternative futures, and university sponsored research organizations</w:t>
            </w:r>
          </w:p>
        </w:tc>
        <w:tc>
          <w:tcPr>
            <w:tcW w:w="2610" w:type="dxa"/>
            <w:tcMar>
              <w:top w:w="100" w:type="dxa"/>
              <w:left w:w="100" w:type="dxa"/>
              <w:bottom w:w="100" w:type="dxa"/>
              <w:right w:w="100" w:type="dxa"/>
            </w:tcMar>
          </w:tcPr>
          <w:p w:rsidR="000A4279" w:rsidRDefault="000A4279" w:rsidP="009E0913">
            <w:pPr>
              <w:jc w:val="center"/>
            </w:pPr>
            <w:r>
              <w:t>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t>Week 2</w:t>
            </w:r>
          </w:p>
        </w:tc>
        <w:tc>
          <w:tcPr>
            <w:tcW w:w="2160" w:type="dxa"/>
            <w:tcMar>
              <w:top w:w="100" w:type="dxa"/>
              <w:left w:w="100" w:type="dxa"/>
              <w:bottom w:w="100" w:type="dxa"/>
              <w:right w:w="100" w:type="dxa"/>
            </w:tcMar>
          </w:tcPr>
          <w:p w:rsidR="000A4279" w:rsidRDefault="000A4279" w:rsidP="009E0913">
            <w:r>
              <w:t>Research funding requirements and definition of costs</w:t>
            </w:r>
          </w:p>
        </w:tc>
        <w:tc>
          <w:tcPr>
            <w:tcW w:w="4685" w:type="dxa"/>
            <w:tcMar>
              <w:top w:w="100" w:type="dxa"/>
              <w:left w:w="100" w:type="dxa"/>
              <w:bottom w:w="100" w:type="dxa"/>
              <w:right w:w="100" w:type="dxa"/>
            </w:tcMar>
          </w:tcPr>
          <w:p w:rsidR="000A4279" w:rsidRDefault="000A4279" w:rsidP="009E0913">
            <w:r>
              <w:t>Basis for university accounting methods (both local and others), concepts of research planning, scoping the effort, elements of the budget: personnel, benefits, travel, supplies, equipment, consultants, sub-contracts, indirect costs, cost-sharing, and other funding line items.</w:t>
            </w:r>
          </w:p>
        </w:tc>
        <w:tc>
          <w:tcPr>
            <w:tcW w:w="2610" w:type="dxa"/>
            <w:tcMar>
              <w:top w:w="100" w:type="dxa"/>
              <w:left w:w="100" w:type="dxa"/>
              <w:bottom w:w="100" w:type="dxa"/>
              <w:right w:w="100" w:type="dxa"/>
            </w:tcMar>
          </w:tcPr>
          <w:p w:rsidR="000A4279" w:rsidRDefault="000A4279" w:rsidP="009E0913">
            <w:pPr>
              <w:jc w:val="center"/>
            </w:pPr>
            <w:r>
              <w:t>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A4279" w:rsidP="000E198B">
            <w:pPr>
              <w:pStyle w:val="Normal1"/>
              <w:rPr>
                <w:rFonts w:eastAsia="Open Sans"/>
                <w:sz w:val="21"/>
                <w:szCs w:val="21"/>
              </w:rPr>
            </w:pPr>
            <w:r>
              <w:rPr>
                <w:rFonts w:eastAsia="Open Sans"/>
                <w:sz w:val="21"/>
                <w:szCs w:val="21"/>
              </w:rPr>
              <w:lastRenderedPageBreak/>
              <w:t xml:space="preserve">Week </w:t>
            </w:r>
            <w:r w:rsidR="000E198B">
              <w:rPr>
                <w:rFonts w:eastAsia="Open Sans"/>
                <w:sz w:val="21"/>
                <w:szCs w:val="21"/>
              </w:rPr>
              <w:t>3</w:t>
            </w:r>
          </w:p>
        </w:tc>
        <w:tc>
          <w:tcPr>
            <w:tcW w:w="2160" w:type="dxa"/>
            <w:tcMar>
              <w:top w:w="100" w:type="dxa"/>
              <w:left w:w="100" w:type="dxa"/>
              <w:bottom w:w="100" w:type="dxa"/>
              <w:right w:w="100" w:type="dxa"/>
            </w:tcMar>
          </w:tcPr>
          <w:p w:rsidR="000A4279" w:rsidRDefault="000A4279" w:rsidP="009E0913">
            <w:r>
              <w:t xml:space="preserve">Identification of funding sources: Research and approaches </w:t>
            </w:r>
          </w:p>
        </w:tc>
        <w:tc>
          <w:tcPr>
            <w:tcW w:w="4685" w:type="dxa"/>
            <w:tcMar>
              <w:top w:w="100" w:type="dxa"/>
              <w:left w:w="100" w:type="dxa"/>
              <w:bottom w:w="100" w:type="dxa"/>
              <w:right w:w="100" w:type="dxa"/>
            </w:tcMar>
          </w:tcPr>
          <w:p w:rsidR="000A4279" w:rsidRDefault="000A4279" w:rsidP="009E0913">
            <w:r>
              <w:t xml:space="preserve">Governmental authority to fund, </w:t>
            </w:r>
            <w:smartTag w:uri="urn:schemas-microsoft-com:office:smarttags" w:element="stockticker">
              <w:r>
                <w:t>CBD</w:t>
              </w:r>
            </w:smartTag>
            <w:r>
              <w:t>, university resources, conventions, governmental entities, foundation indices, networking with senior researchers, and use of consultants, Washington liaisons/lobbyists, and alumni.</w:t>
            </w:r>
          </w:p>
        </w:tc>
        <w:tc>
          <w:tcPr>
            <w:tcW w:w="2610" w:type="dxa"/>
            <w:tcMar>
              <w:top w:w="100" w:type="dxa"/>
              <w:left w:w="100" w:type="dxa"/>
              <w:bottom w:w="100" w:type="dxa"/>
              <w:right w:w="100" w:type="dxa"/>
            </w:tcMar>
          </w:tcPr>
          <w:p w:rsidR="000A4279" w:rsidRDefault="000A4279" w:rsidP="009E0913">
            <w:pPr>
              <w:jc w:val="center"/>
            </w:pPr>
            <w:r>
              <w:t xml:space="preserve">Course Leaders </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A4279" w:rsidP="000E198B">
            <w:pPr>
              <w:pStyle w:val="Normal1"/>
              <w:rPr>
                <w:rFonts w:eastAsia="Open Sans"/>
                <w:sz w:val="21"/>
                <w:szCs w:val="21"/>
              </w:rPr>
            </w:pPr>
            <w:r>
              <w:rPr>
                <w:rFonts w:eastAsia="Open Sans"/>
                <w:sz w:val="21"/>
                <w:szCs w:val="21"/>
              </w:rPr>
              <w:t xml:space="preserve">Week </w:t>
            </w:r>
            <w:r w:rsidR="000E198B">
              <w:rPr>
                <w:rFonts w:eastAsia="Open Sans"/>
                <w:sz w:val="21"/>
                <w:szCs w:val="21"/>
              </w:rPr>
              <w:t>4</w:t>
            </w:r>
          </w:p>
        </w:tc>
        <w:tc>
          <w:tcPr>
            <w:tcW w:w="2160" w:type="dxa"/>
            <w:tcMar>
              <w:top w:w="100" w:type="dxa"/>
              <w:left w:w="100" w:type="dxa"/>
              <w:bottom w:w="100" w:type="dxa"/>
              <w:right w:w="100" w:type="dxa"/>
            </w:tcMar>
          </w:tcPr>
          <w:p w:rsidR="000A4279" w:rsidRDefault="000A4279" w:rsidP="009E0913">
            <w:r>
              <w:t>Establishing/managing teams and collaborations</w:t>
            </w:r>
          </w:p>
        </w:tc>
        <w:tc>
          <w:tcPr>
            <w:tcW w:w="4685" w:type="dxa"/>
            <w:tcMar>
              <w:top w:w="100" w:type="dxa"/>
              <w:left w:w="100" w:type="dxa"/>
              <w:bottom w:w="100" w:type="dxa"/>
              <w:right w:w="100" w:type="dxa"/>
            </w:tcMar>
          </w:tcPr>
          <w:p w:rsidR="000A4279" w:rsidRDefault="000A4279" w:rsidP="009E0913">
            <w:r>
              <w:t>History and justification of multi-institution research, scoping the effort, analyzing proposal strengths, coordination costs, sharing credit, management, indirect cost distribution, personality factors, and an objective view.</w:t>
            </w:r>
          </w:p>
        </w:tc>
        <w:tc>
          <w:tcPr>
            <w:tcW w:w="2610" w:type="dxa"/>
            <w:tcMar>
              <w:top w:w="100" w:type="dxa"/>
              <w:left w:w="100" w:type="dxa"/>
              <w:bottom w:w="100" w:type="dxa"/>
              <w:right w:w="100" w:type="dxa"/>
            </w:tcMar>
          </w:tcPr>
          <w:p w:rsidR="000A4279" w:rsidRDefault="000A4279" w:rsidP="009E0913">
            <w:pPr>
              <w:jc w:val="center"/>
            </w:pPr>
            <w:r>
              <w:t>Dr. Paul Messina</w:t>
            </w:r>
          </w:p>
          <w:p w:rsidR="000A4279" w:rsidRDefault="000A4279" w:rsidP="009E0913">
            <w:pPr>
              <w:jc w:val="center"/>
            </w:pPr>
            <w:r>
              <w:t>and 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A4279" w:rsidP="000E198B">
            <w:pPr>
              <w:pStyle w:val="Normal1"/>
              <w:rPr>
                <w:rFonts w:eastAsia="Open Sans"/>
                <w:sz w:val="21"/>
                <w:szCs w:val="21"/>
              </w:rPr>
            </w:pPr>
            <w:r>
              <w:rPr>
                <w:rFonts w:eastAsia="Open Sans"/>
                <w:sz w:val="21"/>
                <w:szCs w:val="21"/>
              </w:rPr>
              <w:t xml:space="preserve">Week </w:t>
            </w:r>
            <w:r w:rsidR="000E198B">
              <w:rPr>
                <w:rFonts w:eastAsia="Open Sans"/>
                <w:sz w:val="21"/>
                <w:szCs w:val="21"/>
              </w:rPr>
              <w:t>5</w:t>
            </w:r>
          </w:p>
        </w:tc>
        <w:tc>
          <w:tcPr>
            <w:tcW w:w="2160" w:type="dxa"/>
            <w:tcMar>
              <w:top w:w="100" w:type="dxa"/>
              <w:left w:w="100" w:type="dxa"/>
              <w:bottom w:w="100" w:type="dxa"/>
              <w:right w:w="100" w:type="dxa"/>
            </w:tcMar>
          </w:tcPr>
          <w:p w:rsidR="000A4279" w:rsidRDefault="000A4279" w:rsidP="009E0913">
            <w:r>
              <w:t xml:space="preserve">Identifying funders, writing a good proposal and application </w:t>
            </w:r>
          </w:p>
        </w:tc>
        <w:tc>
          <w:tcPr>
            <w:tcW w:w="4685" w:type="dxa"/>
            <w:tcMar>
              <w:top w:w="100" w:type="dxa"/>
              <w:left w:w="100" w:type="dxa"/>
              <w:bottom w:w="100" w:type="dxa"/>
              <w:right w:w="100" w:type="dxa"/>
            </w:tcMar>
          </w:tcPr>
          <w:p w:rsidR="000A4279" w:rsidRDefault="000A4279" w:rsidP="009E0913">
            <w:r>
              <w:t>Conceptual approaches to funding, types of requests and announcements, interpreting the document, identifying the unstated goal, anticipating the competition, thinking like the funder/peer, organizing to write the proposal, aesthetics, anticipating the university logistics for proposing, site visits, and “red team” reviews.</w:t>
            </w:r>
          </w:p>
        </w:tc>
        <w:tc>
          <w:tcPr>
            <w:tcW w:w="2610" w:type="dxa"/>
            <w:tcMar>
              <w:top w:w="100" w:type="dxa"/>
              <w:left w:w="100" w:type="dxa"/>
              <w:bottom w:w="100" w:type="dxa"/>
              <w:right w:w="100" w:type="dxa"/>
            </w:tcMar>
          </w:tcPr>
          <w:p w:rsidR="000A4279" w:rsidRDefault="000A4279" w:rsidP="009E0913">
            <w:pPr>
              <w:jc w:val="center"/>
            </w:pPr>
            <w:r>
              <w:t xml:space="preserve">Dr. Robert F. Lucas </w:t>
            </w:r>
          </w:p>
          <w:p w:rsidR="000A4279" w:rsidRDefault="000A4279" w:rsidP="009E0913">
            <w:pPr>
              <w:jc w:val="center"/>
            </w:pPr>
            <w:r>
              <w:t>And 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A4279" w:rsidP="000E198B">
            <w:pPr>
              <w:pStyle w:val="Normal1"/>
              <w:rPr>
                <w:rFonts w:eastAsia="Open Sans"/>
                <w:sz w:val="21"/>
                <w:szCs w:val="21"/>
              </w:rPr>
            </w:pPr>
            <w:r>
              <w:rPr>
                <w:rFonts w:eastAsia="Open Sans"/>
                <w:sz w:val="21"/>
                <w:szCs w:val="21"/>
              </w:rPr>
              <w:t>Week</w:t>
            </w:r>
            <w:r w:rsidR="000E198B">
              <w:rPr>
                <w:rFonts w:eastAsia="Open Sans"/>
                <w:sz w:val="21"/>
                <w:szCs w:val="21"/>
              </w:rPr>
              <w:t xml:space="preserve"> 6</w:t>
            </w:r>
          </w:p>
        </w:tc>
        <w:tc>
          <w:tcPr>
            <w:tcW w:w="2160" w:type="dxa"/>
            <w:tcMar>
              <w:top w:w="100" w:type="dxa"/>
              <w:left w:w="100" w:type="dxa"/>
              <w:bottom w:w="100" w:type="dxa"/>
              <w:right w:w="100" w:type="dxa"/>
            </w:tcMar>
          </w:tcPr>
          <w:p w:rsidR="000A4279" w:rsidRDefault="000A4279" w:rsidP="009E0913">
            <w:r>
              <w:t>Sponsor relations</w:t>
            </w:r>
          </w:p>
        </w:tc>
        <w:tc>
          <w:tcPr>
            <w:tcW w:w="4685" w:type="dxa"/>
            <w:tcMar>
              <w:top w:w="100" w:type="dxa"/>
              <w:left w:w="100" w:type="dxa"/>
              <w:bottom w:w="100" w:type="dxa"/>
              <w:right w:w="100" w:type="dxa"/>
            </w:tcMar>
          </w:tcPr>
          <w:p w:rsidR="000A4279" w:rsidRDefault="000A4279" w:rsidP="009E0913">
            <w:r>
              <w:t xml:space="preserve">Differing stances of foundations and sponsor representatives, the rules and traditions of relationship, emails, phone-cons, visits to the sponsor, reports, budget information, site visits, and handling pathologic relations. </w:t>
            </w:r>
          </w:p>
        </w:tc>
        <w:tc>
          <w:tcPr>
            <w:tcW w:w="2610" w:type="dxa"/>
            <w:tcMar>
              <w:top w:w="100" w:type="dxa"/>
              <w:left w:w="100" w:type="dxa"/>
              <w:bottom w:w="100" w:type="dxa"/>
              <w:right w:w="100" w:type="dxa"/>
            </w:tcMar>
          </w:tcPr>
          <w:p w:rsidR="000A4279" w:rsidRDefault="000A4279" w:rsidP="009E0913">
            <w:pPr>
              <w:jc w:val="center"/>
            </w:pPr>
            <w:r>
              <w:t>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A4279" w:rsidP="000E198B">
            <w:pPr>
              <w:pStyle w:val="Normal1"/>
              <w:rPr>
                <w:rFonts w:eastAsia="Open Sans"/>
                <w:sz w:val="21"/>
                <w:szCs w:val="21"/>
              </w:rPr>
            </w:pPr>
            <w:r>
              <w:rPr>
                <w:rFonts w:eastAsia="Open Sans"/>
                <w:sz w:val="21"/>
                <w:szCs w:val="21"/>
              </w:rPr>
              <w:t xml:space="preserve">Week </w:t>
            </w:r>
            <w:r w:rsidR="000E198B">
              <w:rPr>
                <w:rFonts w:eastAsia="Open Sans"/>
                <w:sz w:val="21"/>
                <w:szCs w:val="21"/>
              </w:rPr>
              <w:t>7</w:t>
            </w:r>
          </w:p>
        </w:tc>
        <w:tc>
          <w:tcPr>
            <w:tcW w:w="2160" w:type="dxa"/>
            <w:tcMar>
              <w:top w:w="100" w:type="dxa"/>
              <w:left w:w="100" w:type="dxa"/>
              <w:bottom w:w="100" w:type="dxa"/>
              <w:right w:w="100" w:type="dxa"/>
            </w:tcMar>
          </w:tcPr>
          <w:p w:rsidR="000A4279" w:rsidRDefault="000A4279" w:rsidP="009E0913">
            <w:r>
              <w:t>Government relations</w:t>
            </w:r>
          </w:p>
        </w:tc>
        <w:tc>
          <w:tcPr>
            <w:tcW w:w="4685" w:type="dxa"/>
            <w:tcMar>
              <w:top w:w="100" w:type="dxa"/>
              <w:left w:w="100" w:type="dxa"/>
              <w:bottom w:w="100" w:type="dxa"/>
              <w:right w:w="100" w:type="dxa"/>
            </w:tcMar>
          </w:tcPr>
          <w:p w:rsidR="000A4279" w:rsidRDefault="000A4279" w:rsidP="009E0913">
            <w:r>
              <w:t>Constitutional foundation, government entities, the ethics of a professional relationship, sponsor-researcher-congressional relations, professional association activities, and ethical considerations of working with a congressional delegation.</w:t>
            </w:r>
          </w:p>
        </w:tc>
        <w:tc>
          <w:tcPr>
            <w:tcW w:w="2610" w:type="dxa"/>
            <w:tcMar>
              <w:top w:w="100" w:type="dxa"/>
              <w:left w:w="100" w:type="dxa"/>
              <w:bottom w:w="100" w:type="dxa"/>
              <w:right w:w="100" w:type="dxa"/>
            </w:tcMar>
          </w:tcPr>
          <w:p w:rsidR="000A4279" w:rsidRDefault="000A4279" w:rsidP="009E0913">
            <w:pPr>
              <w:jc w:val="center"/>
            </w:pPr>
            <w:r>
              <w:t>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t>Week 8</w:t>
            </w:r>
          </w:p>
        </w:tc>
        <w:tc>
          <w:tcPr>
            <w:tcW w:w="2160" w:type="dxa"/>
            <w:tcMar>
              <w:top w:w="100" w:type="dxa"/>
              <w:left w:w="100" w:type="dxa"/>
              <w:bottom w:w="100" w:type="dxa"/>
              <w:right w:w="100" w:type="dxa"/>
            </w:tcMar>
          </w:tcPr>
          <w:p w:rsidR="000A4279" w:rsidRDefault="000A4279" w:rsidP="009E0913">
            <w:r>
              <w:t>Research ethics</w:t>
            </w:r>
          </w:p>
        </w:tc>
        <w:tc>
          <w:tcPr>
            <w:tcW w:w="4685" w:type="dxa"/>
            <w:tcMar>
              <w:top w:w="100" w:type="dxa"/>
              <w:left w:w="100" w:type="dxa"/>
              <w:bottom w:w="100" w:type="dxa"/>
              <w:right w:w="100" w:type="dxa"/>
            </w:tcMar>
          </w:tcPr>
          <w:p w:rsidR="000A4279" w:rsidRDefault="000A4279" w:rsidP="009E0913">
            <w:r>
              <w:t>Ethical considerations of researcher, human subjects, IRB’s, controlling regulations, certifications required, personal responsibility, defense research, classified material, and security clearances</w:t>
            </w:r>
          </w:p>
        </w:tc>
        <w:tc>
          <w:tcPr>
            <w:tcW w:w="2610" w:type="dxa"/>
            <w:tcMar>
              <w:top w:w="100" w:type="dxa"/>
              <w:left w:w="100" w:type="dxa"/>
              <w:bottom w:w="100" w:type="dxa"/>
              <w:right w:w="100" w:type="dxa"/>
            </w:tcMar>
          </w:tcPr>
          <w:p w:rsidR="000A4279" w:rsidRDefault="000A4279" w:rsidP="009E0913">
            <w:pPr>
              <w:jc w:val="center"/>
            </w:pPr>
            <w:r>
              <w:t>University Staff, IRB Member and Dan Davis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t>Week 9</w:t>
            </w:r>
          </w:p>
        </w:tc>
        <w:tc>
          <w:tcPr>
            <w:tcW w:w="2160" w:type="dxa"/>
            <w:tcMar>
              <w:top w:w="100" w:type="dxa"/>
              <w:left w:w="100" w:type="dxa"/>
              <w:bottom w:w="100" w:type="dxa"/>
              <w:right w:w="100" w:type="dxa"/>
            </w:tcMar>
          </w:tcPr>
          <w:p w:rsidR="000A4279" w:rsidRDefault="000A4279" w:rsidP="009E0913">
            <w:r>
              <w:t>The law and international researchers</w:t>
            </w:r>
          </w:p>
        </w:tc>
        <w:tc>
          <w:tcPr>
            <w:tcW w:w="4685" w:type="dxa"/>
            <w:tcMar>
              <w:top w:w="100" w:type="dxa"/>
              <w:left w:w="100" w:type="dxa"/>
              <w:bottom w:w="100" w:type="dxa"/>
              <w:right w:w="100" w:type="dxa"/>
            </w:tcMar>
          </w:tcPr>
          <w:p w:rsidR="000A4279" w:rsidRDefault="000A4279" w:rsidP="009E0913">
            <w:r>
              <w:t xml:space="preserve">Basic immigration law concepts, H1b and other visas, </w:t>
            </w:r>
            <w:smartTag w:uri="urn:schemas-microsoft-com:office:smarttags" w:element="stockticker">
              <w:r>
                <w:t>INS</w:t>
              </w:r>
            </w:smartTag>
            <w:r>
              <w:t>, recruiting overseas, and avoiding trouble, export controls.</w:t>
            </w:r>
          </w:p>
        </w:tc>
        <w:tc>
          <w:tcPr>
            <w:tcW w:w="2610" w:type="dxa"/>
            <w:tcMar>
              <w:top w:w="100" w:type="dxa"/>
              <w:left w:w="100" w:type="dxa"/>
              <w:bottom w:w="100" w:type="dxa"/>
              <w:right w:w="100" w:type="dxa"/>
            </w:tcMar>
          </w:tcPr>
          <w:p w:rsidR="000A4279" w:rsidRDefault="000A4279" w:rsidP="009E0913">
            <w:pPr>
              <w:jc w:val="center"/>
            </w:pPr>
            <w:r>
              <w:t>University Counsel</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t>Week 10</w:t>
            </w:r>
          </w:p>
        </w:tc>
        <w:tc>
          <w:tcPr>
            <w:tcW w:w="2160" w:type="dxa"/>
            <w:tcMar>
              <w:top w:w="100" w:type="dxa"/>
              <w:left w:w="100" w:type="dxa"/>
              <w:bottom w:w="100" w:type="dxa"/>
              <w:right w:w="100" w:type="dxa"/>
            </w:tcMar>
          </w:tcPr>
          <w:p w:rsidR="000A4279" w:rsidRDefault="000A4279" w:rsidP="009E0913">
            <w:r>
              <w:t>Intellectual property law</w:t>
            </w:r>
          </w:p>
        </w:tc>
        <w:tc>
          <w:tcPr>
            <w:tcW w:w="4685" w:type="dxa"/>
            <w:tcMar>
              <w:top w:w="100" w:type="dxa"/>
              <w:left w:w="100" w:type="dxa"/>
              <w:bottom w:w="100" w:type="dxa"/>
              <w:right w:w="100" w:type="dxa"/>
            </w:tcMar>
          </w:tcPr>
          <w:p w:rsidR="000A4279" w:rsidRDefault="000A4279" w:rsidP="009E0913">
            <w:r>
              <w:t xml:space="preserve">Foundation of IP law, impact of IP issues, basic procedures to follow, university ownership of researchers IP, NDAs, and licensing. </w:t>
            </w:r>
          </w:p>
        </w:tc>
        <w:tc>
          <w:tcPr>
            <w:tcW w:w="2610" w:type="dxa"/>
            <w:tcMar>
              <w:top w:w="100" w:type="dxa"/>
              <w:left w:w="100" w:type="dxa"/>
              <w:bottom w:w="100" w:type="dxa"/>
              <w:right w:w="100" w:type="dxa"/>
            </w:tcMar>
          </w:tcPr>
          <w:p w:rsidR="000A4279" w:rsidRDefault="000A4279" w:rsidP="009E0913">
            <w:pPr>
              <w:jc w:val="center"/>
            </w:pPr>
            <w:r>
              <w:t>IP Office personnel</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t>Week 11</w:t>
            </w:r>
          </w:p>
        </w:tc>
        <w:tc>
          <w:tcPr>
            <w:tcW w:w="2160" w:type="dxa"/>
            <w:tcMar>
              <w:top w:w="100" w:type="dxa"/>
              <w:left w:w="100" w:type="dxa"/>
              <w:bottom w:w="100" w:type="dxa"/>
              <w:right w:w="100" w:type="dxa"/>
            </w:tcMar>
          </w:tcPr>
          <w:p w:rsidR="000A4279" w:rsidRDefault="000A4279" w:rsidP="009E0913">
            <w:r>
              <w:t xml:space="preserve">Financial and ethical issues of corporate sponsorship </w:t>
            </w:r>
          </w:p>
        </w:tc>
        <w:tc>
          <w:tcPr>
            <w:tcW w:w="4685" w:type="dxa"/>
            <w:tcMar>
              <w:top w:w="100" w:type="dxa"/>
              <w:left w:w="100" w:type="dxa"/>
              <w:bottom w:w="100" w:type="dxa"/>
              <w:right w:w="100" w:type="dxa"/>
            </w:tcMar>
          </w:tcPr>
          <w:p w:rsidR="000A4279" w:rsidRDefault="000A4279" w:rsidP="009E0913">
            <w:r>
              <w:t xml:space="preserve">Corporate attitudes toward university research, various entrées to corporations, equipment donations, IP issues, CREDAs, recruiting issues, consultant agreements, using alumni, internships endowments, industrial associates, and recruiting visits, visiting professors from industry. </w:t>
            </w:r>
          </w:p>
        </w:tc>
        <w:tc>
          <w:tcPr>
            <w:tcW w:w="2610" w:type="dxa"/>
            <w:tcMar>
              <w:top w:w="100" w:type="dxa"/>
              <w:left w:w="100" w:type="dxa"/>
              <w:bottom w:w="100" w:type="dxa"/>
              <w:right w:w="100" w:type="dxa"/>
            </w:tcMar>
          </w:tcPr>
          <w:p w:rsidR="000A4279" w:rsidRDefault="000A4279" w:rsidP="009E0913">
            <w:pPr>
              <w:jc w:val="center"/>
            </w:pPr>
            <w:r>
              <w:t>Industrial Relations/Development Dept. and 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t>Week 12</w:t>
            </w:r>
          </w:p>
        </w:tc>
        <w:tc>
          <w:tcPr>
            <w:tcW w:w="2160" w:type="dxa"/>
            <w:tcMar>
              <w:top w:w="100" w:type="dxa"/>
              <w:left w:w="100" w:type="dxa"/>
              <w:bottom w:w="100" w:type="dxa"/>
              <w:right w:w="100" w:type="dxa"/>
            </w:tcMar>
          </w:tcPr>
          <w:p w:rsidR="000A4279" w:rsidRDefault="000A4279" w:rsidP="009E0913">
            <w:r>
              <w:t xml:space="preserve">Non-profit foundations, universities, and </w:t>
            </w:r>
            <w:proofErr w:type="spellStart"/>
            <w:r>
              <w:t>Gov’t</w:t>
            </w:r>
            <w:proofErr w:type="spellEnd"/>
            <w:r>
              <w:t>.</w:t>
            </w:r>
          </w:p>
        </w:tc>
        <w:tc>
          <w:tcPr>
            <w:tcW w:w="4685" w:type="dxa"/>
            <w:tcMar>
              <w:top w:w="100" w:type="dxa"/>
              <w:left w:w="100" w:type="dxa"/>
              <w:bottom w:w="100" w:type="dxa"/>
              <w:right w:w="100" w:type="dxa"/>
            </w:tcMar>
          </w:tcPr>
          <w:p w:rsidR="000A4279" w:rsidRDefault="000A4279" w:rsidP="009E0913">
            <w:r>
              <w:t>Types of foundations, understanding foundations’ goals, communicating with foundation officers, university clearance to solicit, and coordinating with the development office.</w:t>
            </w:r>
          </w:p>
        </w:tc>
        <w:tc>
          <w:tcPr>
            <w:tcW w:w="2610" w:type="dxa"/>
            <w:tcMar>
              <w:top w:w="100" w:type="dxa"/>
              <w:left w:w="100" w:type="dxa"/>
              <w:bottom w:w="100" w:type="dxa"/>
              <w:right w:w="100" w:type="dxa"/>
            </w:tcMar>
          </w:tcPr>
          <w:p w:rsidR="000A4279" w:rsidRDefault="000A4279" w:rsidP="009E0913">
            <w:pPr>
              <w:jc w:val="center"/>
            </w:pPr>
            <w:r>
              <w:t>Foundation Development and 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lastRenderedPageBreak/>
              <w:t>Week 13</w:t>
            </w:r>
          </w:p>
        </w:tc>
        <w:tc>
          <w:tcPr>
            <w:tcW w:w="2160" w:type="dxa"/>
            <w:tcMar>
              <w:top w:w="100" w:type="dxa"/>
              <w:left w:w="100" w:type="dxa"/>
              <w:bottom w:w="100" w:type="dxa"/>
              <w:right w:w="100" w:type="dxa"/>
            </w:tcMar>
          </w:tcPr>
          <w:p w:rsidR="000A4279" w:rsidRDefault="000A4279" w:rsidP="009E0913">
            <w:pPr>
              <w:ind w:right="-18"/>
            </w:pPr>
            <w:r>
              <w:t>Administration of the research project</w:t>
            </w:r>
          </w:p>
        </w:tc>
        <w:tc>
          <w:tcPr>
            <w:tcW w:w="4685" w:type="dxa"/>
            <w:tcMar>
              <w:top w:w="100" w:type="dxa"/>
              <w:left w:w="100" w:type="dxa"/>
              <w:bottom w:w="100" w:type="dxa"/>
              <w:right w:w="100" w:type="dxa"/>
            </w:tcMar>
          </w:tcPr>
          <w:p w:rsidR="000A4279" w:rsidRDefault="000A4279" w:rsidP="009E0913">
            <w:r>
              <w:t>Types of funding vehicles, relations with university contracts office, receipt of funding, record keeping and reporting, managing cash-flow, working with Sponsor program manager, preparing for sponsor visits, and giving sponsorship credit</w:t>
            </w:r>
          </w:p>
        </w:tc>
        <w:tc>
          <w:tcPr>
            <w:tcW w:w="2610" w:type="dxa"/>
            <w:tcMar>
              <w:top w:w="100" w:type="dxa"/>
              <w:left w:w="100" w:type="dxa"/>
              <w:bottom w:w="100" w:type="dxa"/>
              <w:right w:w="100" w:type="dxa"/>
            </w:tcMar>
          </w:tcPr>
          <w:p w:rsidR="000A4279" w:rsidRDefault="000A4279" w:rsidP="009E0913">
            <w:pPr>
              <w:jc w:val="center"/>
            </w:pPr>
            <w:r>
              <w:t>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t>Week 14</w:t>
            </w:r>
          </w:p>
        </w:tc>
        <w:tc>
          <w:tcPr>
            <w:tcW w:w="2160" w:type="dxa"/>
            <w:tcMar>
              <w:top w:w="100" w:type="dxa"/>
              <w:left w:w="100" w:type="dxa"/>
              <w:bottom w:w="100" w:type="dxa"/>
              <w:right w:w="100" w:type="dxa"/>
            </w:tcMar>
          </w:tcPr>
          <w:p w:rsidR="000A4279" w:rsidRDefault="000A4279" w:rsidP="009E0913">
            <w:pPr>
              <w:ind w:right="-18"/>
            </w:pPr>
            <w:r>
              <w:t>Management theory and contractual actions</w:t>
            </w:r>
          </w:p>
        </w:tc>
        <w:tc>
          <w:tcPr>
            <w:tcW w:w="4685" w:type="dxa"/>
            <w:tcMar>
              <w:top w:w="100" w:type="dxa"/>
              <w:left w:w="100" w:type="dxa"/>
              <w:bottom w:w="100" w:type="dxa"/>
              <w:right w:w="100" w:type="dxa"/>
            </w:tcMar>
          </w:tcPr>
          <w:p w:rsidR="000A4279" w:rsidRDefault="000A4279" w:rsidP="009E0913">
            <w:r>
              <w:t>Extensions, renewals, delivery orders, EVMS, option years, basic tenets of bookkeeping, utilization of budget, modifications, allowing time for final reports, law of stop-work orders, and personnel reassignments.</w:t>
            </w:r>
          </w:p>
        </w:tc>
        <w:tc>
          <w:tcPr>
            <w:tcW w:w="2610" w:type="dxa"/>
            <w:tcMar>
              <w:top w:w="100" w:type="dxa"/>
              <w:left w:w="100" w:type="dxa"/>
              <w:bottom w:w="100" w:type="dxa"/>
              <w:right w:w="100" w:type="dxa"/>
            </w:tcMar>
          </w:tcPr>
          <w:p w:rsidR="000A4279" w:rsidRDefault="000A4279" w:rsidP="009E0913">
            <w:pPr>
              <w:jc w:val="center"/>
            </w:pPr>
            <w:r>
              <w:t>Contract and Grant Office and Course Leaders</w:t>
            </w:r>
          </w:p>
        </w:tc>
      </w:tr>
      <w:tr w:rsidR="000A4279" w:rsidRPr="007A60A6" w:rsidTr="000E198B">
        <w:trPr>
          <w:cantSplit/>
        </w:trPr>
        <w:tc>
          <w:tcPr>
            <w:tcW w:w="1075" w:type="dxa"/>
            <w:tcMar>
              <w:top w:w="100" w:type="dxa"/>
              <w:left w:w="100" w:type="dxa"/>
              <w:bottom w:w="100" w:type="dxa"/>
              <w:right w:w="100" w:type="dxa"/>
            </w:tcMar>
          </w:tcPr>
          <w:p w:rsidR="000A4279" w:rsidRPr="00E07BF6" w:rsidRDefault="000E198B" w:rsidP="009E0913">
            <w:pPr>
              <w:pStyle w:val="Normal1"/>
              <w:rPr>
                <w:rFonts w:eastAsia="Open Sans"/>
                <w:sz w:val="21"/>
                <w:szCs w:val="21"/>
              </w:rPr>
            </w:pPr>
            <w:r>
              <w:rPr>
                <w:rFonts w:eastAsia="Open Sans"/>
                <w:sz w:val="21"/>
                <w:szCs w:val="21"/>
              </w:rPr>
              <w:t>Week 15</w:t>
            </w:r>
          </w:p>
        </w:tc>
        <w:tc>
          <w:tcPr>
            <w:tcW w:w="2160" w:type="dxa"/>
            <w:tcMar>
              <w:top w:w="100" w:type="dxa"/>
              <w:left w:w="100" w:type="dxa"/>
              <w:bottom w:w="100" w:type="dxa"/>
              <w:right w:w="100" w:type="dxa"/>
            </w:tcMar>
          </w:tcPr>
          <w:p w:rsidR="000A4279" w:rsidRDefault="000A4279" w:rsidP="009E0913">
            <w:r>
              <w:t>Final Exam/</w:t>
            </w:r>
          </w:p>
          <w:p w:rsidR="000A4279" w:rsidRDefault="000A4279" w:rsidP="009E0913">
            <w:r>
              <w:t>Project presentations</w:t>
            </w:r>
          </w:p>
        </w:tc>
        <w:tc>
          <w:tcPr>
            <w:tcW w:w="4685" w:type="dxa"/>
            <w:tcMar>
              <w:top w:w="100" w:type="dxa"/>
              <w:left w:w="100" w:type="dxa"/>
              <w:bottom w:w="100" w:type="dxa"/>
              <w:right w:w="100" w:type="dxa"/>
            </w:tcMar>
          </w:tcPr>
          <w:p w:rsidR="000A4279" w:rsidRDefault="000A4279" w:rsidP="009E0913">
            <w:r>
              <w:t>Final exam or a presentation of a proposal or a major administrative evolution such as a plan for a site visits, a multi-university collaboration, or similar effort.</w:t>
            </w:r>
          </w:p>
        </w:tc>
        <w:tc>
          <w:tcPr>
            <w:tcW w:w="2610" w:type="dxa"/>
            <w:tcMar>
              <w:top w:w="100" w:type="dxa"/>
              <w:left w:w="100" w:type="dxa"/>
              <w:bottom w:w="100" w:type="dxa"/>
              <w:right w:w="100" w:type="dxa"/>
            </w:tcMar>
          </w:tcPr>
          <w:p w:rsidR="000A4279" w:rsidRDefault="000A4279" w:rsidP="009E0913">
            <w:pPr>
              <w:jc w:val="center"/>
            </w:pPr>
            <w:r>
              <w:t>Course Leaders</w:t>
            </w:r>
          </w:p>
        </w:tc>
      </w:tr>
    </w:tbl>
    <w:p w:rsidR="00300430" w:rsidRDefault="00300430" w:rsidP="00300430"/>
    <w:sectPr w:rsidR="00300430" w:rsidSect="000E198B">
      <w:headerReference w:type="default" r:id="rId10"/>
      <w:pgSz w:w="12240" w:h="15840"/>
      <w:pgMar w:top="1263" w:right="720" w:bottom="720" w:left="72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1C4" w:rsidRDefault="00A321C4" w:rsidP="00300430">
      <w:r>
        <w:separator/>
      </w:r>
    </w:p>
  </w:endnote>
  <w:endnote w:type="continuationSeparator" w:id="0">
    <w:p w:rsidR="00A321C4" w:rsidRDefault="00A321C4" w:rsidP="0030043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roman"/>
    <w:notTrueType/>
    <w:pitch w:val="default"/>
    <w:sig w:usb0="00000000" w:usb1="00000000" w:usb2="00000000" w:usb3="00000000" w:csb0="00000000" w:csb1="00000000"/>
  </w:font>
  <w:font w:name="Times">
    <w:altName w:val="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1C4" w:rsidRDefault="00A321C4" w:rsidP="00300430">
      <w:r>
        <w:separator/>
      </w:r>
    </w:p>
  </w:footnote>
  <w:footnote w:type="continuationSeparator" w:id="0">
    <w:p w:rsidR="00A321C4" w:rsidRDefault="00A321C4" w:rsidP="003004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98B" w:rsidRDefault="000E198B" w:rsidP="000E198B">
    <w:pPr>
      <w:pStyle w:val="Header"/>
      <w:jc w:val="center"/>
    </w:pPr>
    <w:r>
      <w:rPr>
        <w:rFonts w:ascii="Garamond" w:hAnsi="Garamond"/>
        <w:b/>
        <w:noProof/>
        <w:color w:val="7F7F7F" w:themeColor="text1" w:themeTint="80"/>
        <w:sz w:val="48"/>
      </w:rPr>
      <w:drawing>
        <wp:anchor distT="0" distB="0" distL="114300" distR="114300" simplePos="0" relativeHeight="251659264" behindDoc="0" locked="0" layoutInCell="1" allowOverlap="1">
          <wp:simplePos x="0" y="0"/>
          <wp:positionH relativeFrom="column">
            <wp:posOffset>5184775</wp:posOffset>
          </wp:positionH>
          <wp:positionV relativeFrom="paragraph">
            <wp:posOffset>-71120</wp:posOffset>
          </wp:positionV>
          <wp:extent cx="1641475" cy="535940"/>
          <wp:effectExtent l="19050" t="0" r="0" b="0"/>
          <wp:wrapSquare wrapText="bothSides"/>
          <wp:docPr id="5" name="Picture 2" descr="CP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U_Text.jpg"/>
                  <pic:cNvPicPr/>
                </pic:nvPicPr>
                <pic:blipFill>
                  <a:blip r:embed="rId1"/>
                  <a:stretch>
                    <a:fillRect/>
                  </a:stretch>
                </pic:blipFill>
                <pic:spPr>
                  <a:xfrm>
                    <a:off x="0" y="0"/>
                    <a:ext cx="1641475" cy="535940"/>
                  </a:xfrm>
                  <a:prstGeom prst="rect">
                    <a:avLst/>
                  </a:prstGeom>
                </pic:spPr>
              </pic:pic>
            </a:graphicData>
          </a:graphic>
        </wp:anchor>
      </w:drawing>
    </w:r>
    <w:r w:rsidRPr="004E147C">
      <w:rPr>
        <w:rFonts w:ascii="Garamond" w:hAnsi="Garamond"/>
        <w:b/>
        <w:color w:val="7F7F7F" w:themeColor="text1" w:themeTint="80"/>
        <w:sz w:val="48"/>
      </w:rPr>
      <w:t>Course Syllabus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5703E"/>
    <w:multiLevelType w:val="multilevel"/>
    <w:tmpl w:val="96FAA1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601D73C4"/>
    <w:multiLevelType w:val="multilevel"/>
    <w:tmpl w:val="05AC13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62790D50"/>
    <w:multiLevelType w:val="multilevel"/>
    <w:tmpl w:val="CDBAF7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00430"/>
    <w:rsid w:val="00001037"/>
    <w:rsid w:val="00001FF6"/>
    <w:rsid w:val="00002411"/>
    <w:rsid w:val="00007D6A"/>
    <w:rsid w:val="00015F9C"/>
    <w:rsid w:val="00020E9F"/>
    <w:rsid w:val="00025B70"/>
    <w:rsid w:val="00031C1E"/>
    <w:rsid w:val="00031E27"/>
    <w:rsid w:val="00032544"/>
    <w:rsid w:val="00032FA6"/>
    <w:rsid w:val="0003491A"/>
    <w:rsid w:val="0003501D"/>
    <w:rsid w:val="00036811"/>
    <w:rsid w:val="000375AD"/>
    <w:rsid w:val="00040E50"/>
    <w:rsid w:val="000527BD"/>
    <w:rsid w:val="00053376"/>
    <w:rsid w:val="00057C2C"/>
    <w:rsid w:val="000602C8"/>
    <w:rsid w:val="000669B8"/>
    <w:rsid w:val="00070454"/>
    <w:rsid w:val="000749D1"/>
    <w:rsid w:val="00076424"/>
    <w:rsid w:val="00076ACE"/>
    <w:rsid w:val="00076DA9"/>
    <w:rsid w:val="00077CC5"/>
    <w:rsid w:val="00080EE9"/>
    <w:rsid w:val="00081F8E"/>
    <w:rsid w:val="00083119"/>
    <w:rsid w:val="0009020E"/>
    <w:rsid w:val="000927A2"/>
    <w:rsid w:val="00093188"/>
    <w:rsid w:val="00097251"/>
    <w:rsid w:val="000A2828"/>
    <w:rsid w:val="000A4279"/>
    <w:rsid w:val="000A6C63"/>
    <w:rsid w:val="000B0021"/>
    <w:rsid w:val="000B19D0"/>
    <w:rsid w:val="000B7FE5"/>
    <w:rsid w:val="000C1B93"/>
    <w:rsid w:val="000C24A6"/>
    <w:rsid w:val="000C3B44"/>
    <w:rsid w:val="000D1D28"/>
    <w:rsid w:val="000D4BEE"/>
    <w:rsid w:val="000D687D"/>
    <w:rsid w:val="000E198B"/>
    <w:rsid w:val="000E2943"/>
    <w:rsid w:val="000E45F6"/>
    <w:rsid w:val="000E5E2A"/>
    <w:rsid w:val="000E7AA6"/>
    <w:rsid w:val="000F189D"/>
    <w:rsid w:val="000F2C11"/>
    <w:rsid w:val="000F7A74"/>
    <w:rsid w:val="00103886"/>
    <w:rsid w:val="00104350"/>
    <w:rsid w:val="001056CE"/>
    <w:rsid w:val="00114DF8"/>
    <w:rsid w:val="0012434A"/>
    <w:rsid w:val="00124DF5"/>
    <w:rsid w:val="00127F02"/>
    <w:rsid w:val="00130D30"/>
    <w:rsid w:val="0013503E"/>
    <w:rsid w:val="00140434"/>
    <w:rsid w:val="00141B8C"/>
    <w:rsid w:val="00142C8F"/>
    <w:rsid w:val="001430E8"/>
    <w:rsid w:val="00147C39"/>
    <w:rsid w:val="00150C22"/>
    <w:rsid w:val="00155BD0"/>
    <w:rsid w:val="001625CA"/>
    <w:rsid w:val="00164DB6"/>
    <w:rsid w:val="001655BC"/>
    <w:rsid w:val="00171C2D"/>
    <w:rsid w:val="001731D3"/>
    <w:rsid w:val="00173467"/>
    <w:rsid w:val="00173CBA"/>
    <w:rsid w:val="001750E1"/>
    <w:rsid w:val="00183CA3"/>
    <w:rsid w:val="00183D40"/>
    <w:rsid w:val="0018764A"/>
    <w:rsid w:val="00192561"/>
    <w:rsid w:val="00193454"/>
    <w:rsid w:val="00196CC8"/>
    <w:rsid w:val="001A05B9"/>
    <w:rsid w:val="001B123A"/>
    <w:rsid w:val="001B6A1B"/>
    <w:rsid w:val="001B7215"/>
    <w:rsid w:val="001D19BA"/>
    <w:rsid w:val="001D2E13"/>
    <w:rsid w:val="001D7B49"/>
    <w:rsid w:val="001E6275"/>
    <w:rsid w:val="001F2735"/>
    <w:rsid w:val="001F3EDC"/>
    <w:rsid w:val="001F7139"/>
    <w:rsid w:val="001F71F8"/>
    <w:rsid w:val="00200AA8"/>
    <w:rsid w:val="00201520"/>
    <w:rsid w:val="002018BF"/>
    <w:rsid w:val="002067C4"/>
    <w:rsid w:val="00210014"/>
    <w:rsid w:val="00210CE8"/>
    <w:rsid w:val="00211485"/>
    <w:rsid w:val="00222CF5"/>
    <w:rsid w:val="00233774"/>
    <w:rsid w:val="00243949"/>
    <w:rsid w:val="00246350"/>
    <w:rsid w:val="0025104B"/>
    <w:rsid w:val="00251778"/>
    <w:rsid w:val="002522E2"/>
    <w:rsid w:val="00254274"/>
    <w:rsid w:val="00255B16"/>
    <w:rsid w:val="0025763D"/>
    <w:rsid w:val="002735D9"/>
    <w:rsid w:val="002754D0"/>
    <w:rsid w:val="00275A58"/>
    <w:rsid w:val="00276BAC"/>
    <w:rsid w:val="002805CA"/>
    <w:rsid w:val="00280F93"/>
    <w:rsid w:val="00282F55"/>
    <w:rsid w:val="0028608E"/>
    <w:rsid w:val="00286554"/>
    <w:rsid w:val="00287E62"/>
    <w:rsid w:val="00294061"/>
    <w:rsid w:val="002943DB"/>
    <w:rsid w:val="00296FB0"/>
    <w:rsid w:val="002A2D5F"/>
    <w:rsid w:val="002A662F"/>
    <w:rsid w:val="002A7E14"/>
    <w:rsid w:val="002B208E"/>
    <w:rsid w:val="002B240E"/>
    <w:rsid w:val="002B2797"/>
    <w:rsid w:val="002B69A8"/>
    <w:rsid w:val="002C2453"/>
    <w:rsid w:val="002C5E29"/>
    <w:rsid w:val="002C74E6"/>
    <w:rsid w:val="002D36F2"/>
    <w:rsid w:val="002D6B6B"/>
    <w:rsid w:val="002D7985"/>
    <w:rsid w:val="002E15BC"/>
    <w:rsid w:val="002E1B3A"/>
    <w:rsid w:val="002E40D8"/>
    <w:rsid w:val="002E50D1"/>
    <w:rsid w:val="002F1D4C"/>
    <w:rsid w:val="002F2E25"/>
    <w:rsid w:val="002F3569"/>
    <w:rsid w:val="002F575A"/>
    <w:rsid w:val="002F6ADF"/>
    <w:rsid w:val="002F79AD"/>
    <w:rsid w:val="00300430"/>
    <w:rsid w:val="00301E38"/>
    <w:rsid w:val="003021B7"/>
    <w:rsid w:val="003036A7"/>
    <w:rsid w:val="00312ED8"/>
    <w:rsid w:val="00315A4E"/>
    <w:rsid w:val="0032023C"/>
    <w:rsid w:val="00320786"/>
    <w:rsid w:val="0032168D"/>
    <w:rsid w:val="00321DA0"/>
    <w:rsid w:val="00332F6E"/>
    <w:rsid w:val="003343FD"/>
    <w:rsid w:val="0033588B"/>
    <w:rsid w:val="00337498"/>
    <w:rsid w:val="003448B4"/>
    <w:rsid w:val="00345806"/>
    <w:rsid w:val="00350FEA"/>
    <w:rsid w:val="003531B2"/>
    <w:rsid w:val="00357ECD"/>
    <w:rsid w:val="00360686"/>
    <w:rsid w:val="003717EE"/>
    <w:rsid w:val="00374B58"/>
    <w:rsid w:val="00376F89"/>
    <w:rsid w:val="00380A36"/>
    <w:rsid w:val="00386546"/>
    <w:rsid w:val="003928B3"/>
    <w:rsid w:val="003A1525"/>
    <w:rsid w:val="003A43AB"/>
    <w:rsid w:val="003A4F2D"/>
    <w:rsid w:val="003A670C"/>
    <w:rsid w:val="003A7889"/>
    <w:rsid w:val="003B377B"/>
    <w:rsid w:val="003B518D"/>
    <w:rsid w:val="003B7077"/>
    <w:rsid w:val="003C71AA"/>
    <w:rsid w:val="003C751C"/>
    <w:rsid w:val="003D44BE"/>
    <w:rsid w:val="003E47D3"/>
    <w:rsid w:val="003E49A6"/>
    <w:rsid w:val="003E7804"/>
    <w:rsid w:val="003F0D31"/>
    <w:rsid w:val="003F193F"/>
    <w:rsid w:val="003F2704"/>
    <w:rsid w:val="003F642D"/>
    <w:rsid w:val="00401372"/>
    <w:rsid w:val="00402349"/>
    <w:rsid w:val="004046EF"/>
    <w:rsid w:val="00404C07"/>
    <w:rsid w:val="00411F49"/>
    <w:rsid w:val="004346F6"/>
    <w:rsid w:val="004352EB"/>
    <w:rsid w:val="004375BD"/>
    <w:rsid w:val="00446279"/>
    <w:rsid w:val="00451856"/>
    <w:rsid w:val="004548C4"/>
    <w:rsid w:val="00455AF1"/>
    <w:rsid w:val="0045636D"/>
    <w:rsid w:val="00461378"/>
    <w:rsid w:val="00465C4B"/>
    <w:rsid w:val="004665FD"/>
    <w:rsid w:val="004734EE"/>
    <w:rsid w:val="00475622"/>
    <w:rsid w:val="00481995"/>
    <w:rsid w:val="0048215F"/>
    <w:rsid w:val="004850EF"/>
    <w:rsid w:val="0048626D"/>
    <w:rsid w:val="0048693A"/>
    <w:rsid w:val="0049325D"/>
    <w:rsid w:val="0049592C"/>
    <w:rsid w:val="00495FBE"/>
    <w:rsid w:val="00496230"/>
    <w:rsid w:val="00496FB8"/>
    <w:rsid w:val="004A27BE"/>
    <w:rsid w:val="004A67AC"/>
    <w:rsid w:val="004A6B21"/>
    <w:rsid w:val="004B21DD"/>
    <w:rsid w:val="004C1576"/>
    <w:rsid w:val="004C55FB"/>
    <w:rsid w:val="004C579A"/>
    <w:rsid w:val="004D1412"/>
    <w:rsid w:val="004D216D"/>
    <w:rsid w:val="004D43D3"/>
    <w:rsid w:val="004D7489"/>
    <w:rsid w:val="004E0606"/>
    <w:rsid w:val="004E1C07"/>
    <w:rsid w:val="004E4056"/>
    <w:rsid w:val="004E78A0"/>
    <w:rsid w:val="004E7C8B"/>
    <w:rsid w:val="004F48A8"/>
    <w:rsid w:val="004F5903"/>
    <w:rsid w:val="004F5EA6"/>
    <w:rsid w:val="005076A6"/>
    <w:rsid w:val="00510283"/>
    <w:rsid w:val="005105C9"/>
    <w:rsid w:val="00513870"/>
    <w:rsid w:val="00515BC8"/>
    <w:rsid w:val="0051613D"/>
    <w:rsid w:val="005161D4"/>
    <w:rsid w:val="00516973"/>
    <w:rsid w:val="00525452"/>
    <w:rsid w:val="00534273"/>
    <w:rsid w:val="00545FF4"/>
    <w:rsid w:val="0054674A"/>
    <w:rsid w:val="00550103"/>
    <w:rsid w:val="0055176B"/>
    <w:rsid w:val="00552732"/>
    <w:rsid w:val="00561215"/>
    <w:rsid w:val="0056212F"/>
    <w:rsid w:val="00567F66"/>
    <w:rsid w:val="005702DA"/>
    <w:rsid w:val="005717A7"/>
    <w:rsid w:val="00574C0E"/>
    <w:rsid w:val="00576E1F"/>
    <w:rsid w:val="00584EAF"/>
    <w:rsid w:val="00585EEF"/>
    <w:rsid w:val="005916A0"/>
    <w:rsid w:val="005A1F0C"/>
    <w:rsid w:val="005A7B93"/>
    <w:rsid w:val="005B1AD6"/>
    <w:rsid w:val="005B3F6F"/>
    <w:rsid w:val="005C0A98"/>
    <w:rsid w:val="005C2F0C"/>
    <w:rsid w:val="005C409D"/>
    <w:rsid w:val="005C768C"/>
    <w:rsid w:val="005D5696"/>
    <w:rsid w:val="005F4BE8"/>
    <w:rsid w:val="00602B88"/>
    <w:rsid w:val="00606141"/>
    <w:rsid w:val="00610E1A"/>
    <w:rsid w:val="0062758D"/>
    <w:rsid w:val="0063151C"/>
    <w:rsid w:val="0063511A"/>
    <w:rsid w:val="00636DC2"/>
    <w:rsid w:val="0064435B"/>
    <w:rsid w:val="0064673B"/>
    <w:rsid w:val="00653B7E"/>
    <w:rsid w:val="00653DC1"/>
    <w:rsid w:val="006577E3"/>
    <w:rsid w:val="00657A11"/>
    <w:rsid w:val="006601B5"/>
    <w:rsid w:val="00661FEC"/>
    <w:rsid w:val="00662E8E"/>
    <w:rsid w:val="00670F10"/>
    <w:rsid w:val="00674C64"/>
    <w:rsid w:val="00676CFB"/>
    <w:rsid w:val="00681CBA"/>
    <w:rsid w:val="006829B7"/>
    <w:rsid w:val="0068414F"/>
    <w:rsid w:val="00684AE0"/>
    <w:rsid w:val="006906E8"/>
    <w:rsid w:val="006922D4"/>
    <w:rsid w:val="00694C53"/>
    <w:rsid w:val="00696CF8"/>
    <w:rsid w:val="006A0770"/>
    <w:rsid w:val="006A1A3B"/>
    <w:rsid w:val="006A1D02"/>
    <w:rsid w:val="006A20A2"/>
    <w:rsid w:val="006A7C63"/>
    <w:rsid w:val="006B2656"/>
    <w:rsid w:val="006B3DDB"/>
    <w:rsid w:val="006B6108"/>
    <w:rsid w:val="006B745F"/>
    <w:rsid w:val="006B79BC"/>
    <w:rsid w:val="006C4158"/>
    <w:rsid w:val="006D0D9D"/>
    <w:rsid w:val="006D2652"/>
    <w:rsid w:val="006D4F16"/>
    <w:rsid w:val="006D7294"/>
    <w:rsid w:val="006D78B7"/>
    <w:rsid w:val="006D7BD6"/>
    <w:rsid w:val="006E34E3"/>
    <w:rsid w:val="006E6576"/>
    <w:rsid w:val="006F1E9F"/>
    <w:rsid w:val="006F2578"/>
    <w:rsid w:val="006F3879"/>
    <w:rsid w:val="00706CC1"/>
    <w:rsid w:val="007113DF"/>
    <w:rsid w:val="0071575B"/>
    <w:rsid w:val="00715BED"/>
    <w:rsid w:val="00724989"/>
    <w:rsid w:val="00725305"/>
    <w:rsid w:val="00725D41"/>
    <w:rsid w:val="00744626"/>
    <w:rsid w:val="00746677"/>
    <w:rsid w:val="007511BB"/>
    <w:rsid w:val="007535CA"/>
    <w:rsid w:val="00757455"/>
    <w:rsid w:val="00757456"/>
    <w:rsid w:val="00757687"/>
    <w:rsid w:val="007627CD"/>
    <w:rsid w:val="00767B52"/>
    <w:rsid w:val="00770D7E"/>
    <w:rsid w:val="007722AA"/>
    <w:rsid w:val="007736D1"/>
    <w:rsid w:val="007771DA"/>
    <w:rsid w:val="00780C44"/>
    <w:rsid w:val="00783181"/>
    <w:rsid w:val="007925B8"/>
    <w:rsid w:val="007935AB"/>
    <w:rsid w:val="00796065"/>
    <w:rsid w:val="007A0CD7"/>
    <w:rsid w:val="007A3310"/>
    <w:rsid w:val="007B0EEF"/>
    <w:rsid w:val="007B4852"/>
    <w:rsid w:val="007B7C6C"/>
    <w:rsid w:val="007C14DD"/>
    <w:rsid w:val="007C3E4B"/>
    <w:rsid w:val="007C71E8"/>
    <w:rsid w:val="007D00EA"/>
    <w:rsid w:val="007D0BB7"/>
    <w:rsid w:val="007D1F63"/>
    <w:rsid w:val="007D5704"/>
    <w:rsid w:val="007E2EFC"/>
    <w:rsid w:val="007E360A"/>
    <w:rsid w:val="007E4848"/>
    <w:rsid w:val="007E7D3F"/>
    <w:rsid w:val="007F25E3"/>
    <w:rsid w:val="007F31EB"/>
    <w:rsid w:val="007F6C59"/>
    <w:rsid w:val="0080075A"/>
    <w:rsid w:val="008014A1"/>
    <w:rsid w:val="0080446A"/>
    <w:rsid w:val="0081078B"/>
    <w:rsid w:val="0081099D"/>
    <w:rsid w:val="008121D6"/>
    <w:rsid w:val="008122D1"/>
    <w:rsid w:val="0081319D"/>
    <w:rsid w:val="00814DE4"/>
    <w:rsid w:val="00820CD2"/>
    <w:rsid w:val="00823BEF"/>
    <w:rsid w:val="0082558B"/>
    <w:rsid w:val="0082696F"/>
    <w:rsid w:val="00832D86"/>
    <w:rsid w:val="00834B78"/>
    <w:rsid w:val="008363B7"/>
    <w:rsid w:val="00843709"/>
    <w:rsid w:val="00853B78"/>
    <w:rsid w:val="00854900"/>
    <w:rsid w:val="008603E6"/>
    <w:rsid w:val="00861F88"/>
    <w:rsid w:val="00862558"/>
    <w:rsid w:val="00863E9E"/>
    <w:rsid w:val="00864B8A"/>
    <w:rsid w:val="008650A5"/>
    <w:rsid w:val="00870F55"/>
    <w:rsid w:val="00871FF6"/>
    <w:rsid w:val="00873655"/>
    <w:rsid w:val="00873FE9"/>
    <w:rsid w:val="00875A37"/>
    <w:rsid w:val="00881F98"/>
    <w:rsid w:val="00882A7B"/>
    <w:rsid w:val="00882D31"/>
    <w:rsid w:val="00887E3B"/>
    <w:rsid w:val="00894FE2"/>
    <w:rsid w:val="00895072"/>
    <w:rsid w:val="00895279"/>
    <w:rsid w:val="00895423"/>
    <w:rsid w:val="008A0A4A"/>
    <w:rsid w:val="008A2FA3"/>
    <w:rsid w:val="008A761A"/>
    <w:rsid w:val="008B234A"/>
    <w:rsid w:val="008B2739"/>
    <w:rsid w:val="008B32DD"/>
    <w:rsid w:val="008B3A66"/>
    <w:rsid w:val="008B4BC0"/>
    <w:rsid w:val="008C1347"/>
    <w:rsid w:val="008D000E"/>
    <w:rsid w:val="008D0C18"/>
    <w:rsid w:val="008D0F73"/>
    <w:rsid w:val="008D14D7"/>
    <w:rsid w:val="008D4FBA"/>
    <w:rsid w:val="008D6B98"/>
    <w:rsid w:val="008E2F24"/>
    <w:rsid w:val="008E3156"/>
    <w:rsid w:val="008E4A92"/>
    <w:rsid w:val="008E54F4"/>
    <w:rsid w:val="008E63C3"/>
    <w:rsid w:val="008F0D33"/>
    <w:rsid w:val="008F48B7"/>
    <w:rsid w:val="00902474"/>
    <w:rsid w:val="00902786"/>
    <w:rsid w:val="00905C4E"/>
    <w:rsid w:val="00913556"/>
    <w:rsid w:val="00913ED0"/>
    <w:rsid w:val="009172FF"/>
    <w:rsid w:val="00920184"/>
    <w:rsid w:val="0092180C"/>
    <w:rsid w:val="00931E7F"/>
    <w:rsid w:val="00932439"/>
    <w:rsid w:val="00932B28"/>
    <w:rsid w:val="0093776D"/>
    <w:rsid w:val="0094284C"/>
    <w:rsid w:val="00946A6B"/>
    <w:rsid w:val="00952B12"/>
    <w:rsid w:val="0095354A"/>
    <w:rsid w:val="009571B7"/>
    <w:rsid w:val="00957B22"/>
    <w:rsid w:val="0096353D"/>
    <w:rsid w:val="009672AB"/>
    <w:rsid w:val="00971731"/>
    <w:rsid w:val="009720B2"/>
    <w:rsid w:val="009728E3"/>
    <w:rsid w:val="00977EF6"/>
    <w:rsid w:val="009850F5"/>
    <w:rsid w:val="00986651"/>
    <w:rsid w:val="00992E5B"/>
    <w:rsid w:val="009A7322"/>
    <w:rsid w:val="009B5B4C"/>
    <w:rsid w:val="009B6632"/>
    <w:rsid w:val="009C0D43"/>
    <w:rsid w:val="009C125C"/>
    <w:rsid w:val="009C1D55"/>
    <w:rsid w:val="009C7A6C"/>
    <w:rsid w:val="009D10CC"/>
    <w:rsid w:val="009D3863"/>
    <w:rsid w:val="009E001F"/>
    <w:rsid w:val="009E43D7"/>
    <w:rsid w:val="009E6EC2"/>
    <w:rsid w:val="009E766C"/>
    <w:rsid w:val="009F0CA2"/>
    <w:rsid w:val="009F40C3"/>
    <w:rsid w:val="009F5C71"/>
    <w:rsid w:val="009F6679"/>
    <w:rsid w:val="00A02D0E"/>
    <w:rsid w:val="00A047DE"/>
    <w:rsid w:val="00A06944"/>
    <w:rsid w:val="00A07A37"/>
    <w:rsid w:val="00A16FA3"/>
    <w:rsid w:val="00A17BF5"/>
    <w:rsid w:val="00A21A6D"/>
    <w:rsid w:val="00A21CC2"/>
    <w:rsid w:val="00A21ED1"/>
    <w:rsid w:val="00A243A4"/>
    <w:rsid w:val="00A254CC"/>
    <w:rsid w:val="00A270AE"/>
    <w:rsid w:val="00A30071"/>
    <w:rsid w:val="00A321C4"/>
    <w:rsid w:val="00A4258C"/>
    <w:rsid w:val="00A44817"/>
    <w:rsid w:val="00A503F7"/>
    <w:rsid w:val="00A53D5D"/>
    <w:rsid w:val="00A5477A"/>
    <w:rsid w:val="00A56BC8"/>
    <w:rsid w:val="00A67F9B"/>
    <w:rsid w:val="00A70E75"/>
    <w:rsid w:val="00A7116C"/>
    <w:rsid w:val="00A71C1E"/>
    <w:rsid w:val="00A7224F"/>
    <w:rsid w:val="00A73441"/>
    <w:rsid w:val="00A76894"/>
    <w:rsid w:val="00A76EAD"/>
    <w:rsid w:val="00A77D7A"/>
    <w:rsid w:val="00A804A5"/>
    <w:rsid w:val="00A83A01"/>
    <w:rsid w:val="00A8615B"/>
    <w:rsid w:val="00A9356B"/>
    <w:rsid w:val="00A93706"/>
    <w:rsid w:val="00A970B5"/>
    <w:rsid w:val="00AA47DC"/>
    <w:rsid w:val="00AA721E"/>
    <w:rsid w:val="00AB33B7"/>
    <w:rsid w:val="00AB4C86"/>
    <w:rsid w:val="00AB714D"/>
    <w:rsid w:val="00AC03DD"/>
    <w:rsid w:val="00AC11C7"/>
    <w:rsid w:val="00AC1DC2"/>
    <w:rsid w:val="00AC336D"/>
    <w:rsid w:val="00AC4609"/>
    <w:rsid w:val="00AC6AC9"/>
    <w:rsid w:val="00AD1B49"/>
    <w:rsid w:val="00AD5465"/>
    <w:rsid w:val="00AD7BEB"/>
    <w:rsid w:val="00AE02A8"/>
    <w:rsid w:val="00AE18A6"/>
    <w:rsid w:val="00AE18FE"/>
    <w:rsid w:val="00AE7097"/>
    <w:rsid w:val="00AF1A25"/>
    <w:rsid w:val="00AF3A86"/>
    <w:rsid w:val="00AF75A8"/>
    <w:rsid w:val="00B0048E"/>
    <w:rsid w:val="00B027D8"/>
    <w:rsid w:val="00B0367F"/>
    <w:rsid w:val="00B050CE"/>
    <w:rsid w:val="00B058A6"/>
    <w:rsid w:val="00B074B8"/>
    <w:rsid w:val="00B105C7"/>
    <w:rsid w:val="00B13568"/>
    <w:rsid w:val="00B135C3"/>
    <w:rsid w:val="00B14D86"/>
    <w:rsid w:val="00B251F9"/>
    <w:rsid w:val="00B2599E"/>
    <w:rsid w:val="00B32042"/>
    <w:rsid w:val="00B50A53"/>
    <w:rsid w:val="00B51D9B"/>
    <w:rsid w:val="00B53800"/>
    <w:rsid w:val="00B559AB"/>
    <w:rsid w:val="00B66A80"/>
    <w:rsid w:val="00B66B65"/>
    <w:rsid w:val="00B70DF9"/>
    <w:rsid w:val="00B72132"/>
    <w:rsid w:val="00B72265"/>
    <w:rsid w:val="00B74742"/>
    <w:rsid w:val="00B8673B"/>
    <w:rsid w:val="00B87B65"/>
    <w:rsid w:val="00B96B20"/>
    <w:rsid w:val="00BA4BC5"/>
    <w:rsid w:val="00BB09BD"/>
    <w:rsid w:val="00BB7C79"/>
    <w:rsid w:val="00BC04FB"/>
    <w:rsid w:val="00BC067C"/>
    <w:rsid w:val="00BC7799"/>
    <w:rsid w:val="00BD2043"/>
    <w:rsid w:val="00BD3366"/>
    <w:rsid w:val="00BD4388"/>
    <w:rsid w:val="00BD59E0"/>
    <w:rsid w:val="00BF0516"/>
    <w:rsid w:val="00BF175C"/>
    <w:rsid w:val="00BF20D7"/>
    <w:rsid w:val="00BF7389"/>
    <w:rsid w:val="00BF7D81"/>
    <w:rsid w:val="00C07B62"/>
    <w:rsid w:val="00C14AB8"/>
    <w:rsid w:val="00C174D2"/>
    <w:rsid w:val="00C22388"/>
    <w:rsid w:val="00C23DC7"/>
    <w:rsid w:val="00C243DC"/>
    <w:rsid w:val="00C27034"/>
    <w:rsid w:val="00C3294F"/>
    <w:rsid w:val="00C377FD"/>
    <w:rsid w:val="00C40EB2"/>
    <w:rsid w:val="00C476BC"/>
    <w:rsid w:val="00C47E19"/>
    <w:rsid w:val="00C54582"/>
    <w:rsid w:val="00C637D1"/>
    <w:rsid w:val="00C67888"/>
    <w:rsid w:val="00C74609"/>
    <w:rsid w:val="00C74D77"/>
    <w:rsid w:val="00C80ED6"/>
    <w:rsid w:val="00C815E1"/>
    <w:rsid w:val="00C8201A"/>
    <w:rsid w:val="00C84427"/>
    <w:rsid w:val="00C84C88"/>
    <w:rsid w:val="00C91F9B"/>
    <w:rsid w:val="00C95499"/>
    <w:rsid w:val="00C961A2"/>
    <w:rsid w:val="00CA28A6"/>
    <w:rsid w:val="00CA4E75"/>
    <w:rsid w:val="00CB0375"/>
    <w:rsid w:val="00CB1551"/>
    <w:rsid w:val="00CB281F"/>
    <w:rsid w:val="00CB4E7B"/>
    <w:rsid w:val="00CB5D2C"/>
    <w:rsid w:val="00CB7405"/>
    <w:rsid w:val="00CB7749"/>
    <w:rsid w:val="00CC01E6"/>
    <w:rsid w:val="00CC2AE6"/>
    <w:rsid w:val="00CD0E11"/>
    <w:rsid w:val="00CD2C2A"/>
    <w:rsid w:val="00CD2C99"/>
    <w:rsid w:val="00CD7E44"/>
    <w:rsid w:val="00CE5A0A"/>
    <w:rsid w:val="00CF223B"/>
    <w:rsid w:val="00CF6E12"/>
    <w:rsid w:val="00D0113F"/>
    <w:rsid w:val="00D01AE2"/>
    <w:rsid w:val="00D02E74"/>
    <w:rsid w:val="00D05269"/>
    <w:rsid w:val="00D12350"/>
    <w:rsid w:val="00D137DB"/>
    <w:rsid w:val="00D1456D"/>
    <w:rsid w:val="00D20572"/>
    <w:rsid w:val="00D22C9B"/>
    <w:rsid w:val="00D354E6"/>
    <w:rsid w:val="00D358E5"/>
    <w:rsid w:val="00D3660C"/>
    <w:rsid w:val="00D373D3"/>
    <w:rsid w:val="00D407BC"/>
    <w:rsid w:val="00D424A3"/>
    <w:rsid w:val="00D435AB"/>
    <w:rsid w:val="00D43CED"/>
    <w:rsid w:val="00D53134"/>
    <w:rsid w:val="00D613C0"/>
    <w:rsid w:val="00D63EEB"/>
    <w:rsid w:val="00D663AD"/>
    <w:rsid w:val="00D67A18"/>
    <w:rsid w:val="00D7129D"/>
    <w:rsid w:val="00D720AC"/>
    <w:rsid w:val="00D73A53"/>
    <w:rsid w:val="00D8152D"/>
    <w:rsid w:val="00D81944"/>
    <w:rsid w:val="00D86B44"/>
    <w:rsid w:val="00D97309"/>
    <w:rsid w:val="00DA08BE"/>
    <w:rsid w:val="00DA4061"/>
    <w:rsid w:val="00DA7134"/>
    <w:rsid w:val="00DB0E89"/>
    <w:rsid w:val="00DB2290"/>
    <w:rsid w:val="00DC4B04"/>
    <w:rsid w:val="00DC602E"/>
    <w:rsid w:val="00DD5013"/>
    <w:rsid w:val="00DD65C1"/>
    <w:rsid w:val="00DD7F3B"/>
    <w:rsid w:val="00DE46AE"/>
    <w:rsid w:val="00DE4FBB"/>
    <w:rsid w:val="00DE56FD"/>
    <w:rsid w:val="00DE7D4B"/>
    <w:rsid w:val="00DF011E"/>
    <w:rsid w:val="00E00091"/>
    <w:rsid w:val="00E07FB9"/>
    <w:rsid w:val="00E11655"/>
    <w:rsid w:val="00E117BB"/>
    <w:rsid w:val="00E16C36"/>
    <w:rsid w:val="00E20162"/>
    <w:rsid w:val="00E224E0"/>
    <w:rsid w:val="00E24EA5"/>
    <w:rsid w:val="00E2591D"/>
    <w:rsid w:val="00E3024F"/>
    <w:rsid w:val="00E30D92"/>
    <w:rsid w:val="00E31744"/>
    <w:rsid w:val="00E34472"/>
    <w:rsid w:val="00E42A82"/>
    <w:rsid w:val="00E42D93"/>
    <w:rsid w:val="00E443D4"/>
    <w:rsid w:val="00E44B72"/>
    <w:rsid w:val="00E50B65"/>
    <w:rsid w:val="00E5236B"/>
    <w:rsid w:val="00E556C6"/>
    <w:rsid w:val="00E568F8"/>
    <w:rsid w:val="00E56F2D"/>
    <w:rsid w:val="00E57728"/>
    <w:rsid w:val="00E624BD"/>
    <w:rsid w:val="00E62CC9"/>
    <w:rsid w:val="00E63B36"/>
    <w:rsid w:val="00E64A7A"/>
    <w:rsid w:val="00E66260"/>
    <w:rsid w:val="00E72101"/>
    <w:rsid w:val="00E87B6C"/>
    <w:rsid w:val="00EA0666"/>
    <w:rsid w:val="00EA1158"/>
    <w:rsid w:val="00EA5657"/>
    <w:rsid w:val="00EC52F1"/>
    <w:rsid w:val="00ED05A8"/>
    <w:rsid w:val="00ED1756"/>
    <w:rsid w:val="00ED1B26"/>
    <w:rsid w:val="00ED77E2"/>
    <w:rsid w:val="00EE2E48"/>
    <w:rsid w:val="00EE4E2E"/>
    <w:rsid w:val="00EE753A"/>
    <w:rsid w:val="00EF2AFE"/>
    <w:rsid w:val="00EF7FB7"/>
    <w:rsid w:val="00F00C28"/>
    <w:rsid w:val="00F015B5"/>
    <w:rsid w:val="00F032DA"/>
    <w:rsid w:val="00F060C2"/>
    <w:rsid w:val="00F078C2"/>
    <w:rsid w:val="00F108C6"/>
    <w:rsid w:val="00F157B0"/>
    <w:rsid w:val="00F15F45"/>
    <w:rsid w:val="00F22442"/>
    <w:rsid w:val="00F232CE"/>
    <w:rsid w:val="00F33325"/>
    <w:rsid w:val="00F33A67"/>
    <w:rsid w:val="00F350F2"/>
    <w:rsid w:val="00F40BF3"/>
    <w:rsid w:val="00F43665"/>
    <w:rsid w:val="00F43F8A"/>
    <w:rsid w:val="00F51CAF"/>
    <w:rsid w:val="00F658B5"/>
    <w:rsid w:val="00F675C0"/>
    <w:rsid w:val="00F73EC2"/>
    <w:rsid w:val="00F7486C"/>
    <w:rsid w:val="00F756FA"/>
    <w:rsid w:val="00F83059"/>
    <w:rsid w:val="00F8724A"/>
    <w:rsid w:val="00F877BF"/>
    <w:rsid w:val="00F9489C"/>
    <w:rsid w:val="00F954EA"/>
    <w:rsid w:val="00F956FA"/>
    <w:rsid w:val="00FA0F48"/>
    <w:rsid w:val="00FA0FDF"/>
    <w:rsid w:val="00FA3459"/>
    <w:rsid w:val="00FA39D1"/>
    <w:rsid w:val="00FA74C6"/>
    <w:rsid w:val="00FC219B"/>
    <w:rsid w:val="00FC64F2"/>
    <w:rsid w:val="00FD01DC"/>
    <w:rsid w:val="00FD6F70"/>
    <w:rsid w:val="00FD7EF7"/>
    <w:rsid w:val="00FE0A47"/>
    <w:rsid w:val="00FE4567"/>
    <w:rsid w:val="00FE7E83"/>
    <w:rsid w:val="00FF3890"/>
    <w:rsid w:val="00FF6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line="187" w:lineRule="atLeast"/>
        <w:ind w:firstLine="15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430"/>
    <w:pPr>
      <w:widowControl w:val="0"/>
      <w:pBdr>
        <w:top w:val="nil"/>
        <w:left w:val="nil"/>
        <w:bottom w:val="nil"/>
        <w:right w:val="nil"/>
        <w:between w:val="nil"/>
      </w:pBdr>
      <w:spacing w:before="0" w:line="240" w:lineRule="auto"/>
      <w:ind w:firstLine="0"/>
      <w:jc w:val="left"/>
    </w:pPr>
    <w:rPr>
      <w:rFonts w:ascii="Arial" w:eastAsia="Arial" w:hAnsi="Arial" w:cs="Arial"/>
      <w:color w:val="000000"/>
      <w:sz w:val="20"/>
      <w:szCs w:val="20"/>
    </w:rPr>
  </w:style>
  <w:style w:type="paragraph" w:styleId="Heading1">
    <w:name w:val="heading 1"/>
    <w:basedOn w:val="Normal1"/>
    <w:next w:val="Normal1"/>
    <w:link w:val="Heading1Char"/>
    <w:rsid w:val="00300430"/>
    <w:pPr>
      <w:keepNext/>
      <w:keepLines/>
      <w:spacing w:before="400" w:after="120"/>
      <w:outlineLvl w:val="0"/>
    </w:pPr>
    <w:rPr>
      <w:color w:val="00539F"/>
      <w:sz w:val="36"/>
      <w:szCs w:val="36"/>
    </w:rPr>
  </w:style>
  <w:style w:type="paragraph" w:styleId="Heading2">
    <w:name w:val="heading 2"/>
    <w:basedOn w:val="Normal"/>
    <w:next w:val="Normal"/>
    <w:link w:val="Heading2Char"/>
    <w:uiPriority w:val="9"/>
    <w:unhideWhenUsed/>
    <w:qFormat/>
    <w:rsid w:val="00A76894"/>
    <w:pPr>
      <w:keepNext/>
      <w:keepLines/>
      <w:spacing w:before="200" w:after="12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894"/>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rsid w:val="00300430"/>
    <w:rPr>
      <w:rFonts w:ascii="Arial" w:eastAsia="Arial" w:hAnsi="Arial" w:cs="Arial"/>
      <w:color w:val="00539F"/>
      <w:sz w:val="36"/>
      <w:szCs w:val="36"/>
    </w:rPr>
  </w:style>
  <w:style w:type="paragraph" w:customStyle="1" w:styleId="Normal1">
    <w:name w:val="Normal1"/>
    <w:rsid w:val="00300430"/>
    <w:pPr>
      <w:widowControl w:val="0"/>
      <w:pBdr>
        <w:top w:val="nil"/>
        <w:left w:val="nil"/>
        <w:bottom w:val="nil"/>
        <w:right w:val="nil"/>
        <w:between w:val="nil"/>
      </w:pBdr>
      <w:spacing w:before="0" w:line="240" w:lineRule="auto"/>
      <w:ind w:firstLine="0"/>
      <w:jc w:val="left"/>
    </w:pPr>
    <w:rPr>
      <w:rFonts w:ascii="Arial" w:eastAsia="Arial" w:hAnsi="Arial" w:cs="Arial"/>
      <w:color w:val="000000"/>
      <w:sz w:val="20"/>
      <w:szCs w:val="20"/>
    </w:rPr>
  </w:style>
  <w:style w:type="paragraph" w:styleId="Title">
    <w:name w:val="Title"/>
    <w:basedOn w:val="Normal1"/>
    <w:next w:val="Normal1"/>
    <w:link w:val="TitleChar"/>
    <w:rsid w:val="00300430"/>
    <w:pPr>
      <w:keepNext/>
      <w:keepLines/>
      <w:spacing w:after="60"/>
    </w:pPr>
    <w:rPr>
      <w:b/>
      <w:color w:val="00539F"/>
      <w:sz w:val="36"/>
      <w:szCs w:val="36"/>
    </w:rPr>
  </w:style>
  <w:style w:type="character" w:customStyle="1" w:styleId="TitleChar">
    <w:name w:val="Title Char"/>
    <w:basedOn w:val="DefaultParagraphFont"/>
    <w:link w:val="Title"/>
    <w:rsid w:val="00300430"/>
    <w:rPr>
      <w:rFonts w:ascii="Arial" w:eastAsia="Arial" w:hAnsi="Arial" w:cs="Arial"/>
      <w:b/>
      <w:color w:val="00539F"/>
      <w:sz w:val="36"/>
      <w:szCs w:val="36"/>
    </w:rPr>
  </w:style>
  <w:style w:type="character" w:styleId="Hyperlink">
    <w:name w:val="Hyperlink"/>
    <w:basedOn w:val="DefaultParagraphFont"/>
    <w:uiPriority w:val="99"/>
    <w:unhideWhenUsed/>
    <w:rsid w:val="00300430"/>
    <w:rPr>
      <w:color w:val="0000FF"/>
      <w:u w:val="single"/>
    </w:rPr>
  </w:style>
  <w:style w:type="character" w:customStyle="1" w:styleId="a-list-item">
    <w:name w:val="a-list-item"/>
    <w:basedOn w:val="DefaultParagraphFont"/>
    <w:rsid w:val="00300430"/>
  </w:style>
  <w:style w:type="paragraph" w:styleId="Header">
    <w:name w:val="header"/>
    <w:basedOn w:val="Normal"/>
    <w:link w:val="HeaderChar"/>
    <w:uiPriority w:val="99"/>
    <w:semiHidden/>
    <w:unhideWhenUsed/>
    <w:rsid w:val="00300430"/>
    <w:pPr>
      <w:tabs>
        <w:tab w:val="center" w:pos="4680"/>
        <w:tab w:val="right" w:pos="9360"/>
      </w:tabs>
    </w:pPr>
  </w:style>
  <w:style w:type="character" w:customStyle="1" w:styleId="HeaderChar">
    <w:name w:val="Header Char"/>
    <w:basedOn w:val="DefaultParagraphFont"/>
    <w:link w:val="Header"/>
    <w:uiPriority w:val="99"/>
    <w:semiHidden/>
    <w:rsid w:val="00300430"/>
    <w:rPr>
      <w:rFonts w:ascii="Arial" w:eastAsia="Arial" w:hAnsi="Arial" w:cs="Arial"/>
      <w:color w:val="000000"/>
      <w:sz w:val="20"/>
      <w:szCs w:val="20"/>
    </w:rPr>
  </w:style>
  <w:style w:type="paragraph" w:styleId="Footer">
    <w:name w:val="footer"/>
    <w:basedOn w:val="Normal"/>
    <w:link w:val="FooterChar"/>
    <w:uiPriority w:val="99"/>
    <w:semiHidden/>
    <w:unhideWhenUsed/>
    <w:rsid w:val="00300430"/>
    <w:pPr>
      <w:tabs>
        <w:tab w:val="center" w:pos="4680"/>
        <w:tab w:val="right" w:pos="9360"/>
      </w:tabs>
    </w:pPr>
  </w:style>
  <w:style w:type="character" w:customStyle="1" w:styleId="FooterChar">
    <w:name w:val="Footer Char"/>
    <w:basedOn w:val="DefaultParagraphFont"/>
    <w:link w:val="Footer"/>
    <w:uiPriority w:val="99"/>
    <w:semiHidden/>
    <w:rsid w:val="00300430"/>
    <w:rPr>
      <w:rFonts w:ascii="Arial" w:eastAsia="Arial" w:hAnsi="Arial" w:cs="Arial"/>
      <w:color w:val="000000"/>
      <w:sz w:val="20"/>
      <w:szCs w:val="20"/>
    </w:rPr>
  </w:style>
  <w:style w:type="paragraph" w:styleId="ListParagraph">
    <w:name w:val="List Paragraph"/>
    <w:basedOn w:val="Normal"/>
    <w:uiPriority w:val="34"/>
    <w:qFormat/>
    <w:rsid w:val="003004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davis@catholicpolytechni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davis@catholicpolytechni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10359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dc:creator>
  <cp:lastModifiedBy>DMD</cp:lastModifiedBy>
  <cp:revision>4</cp:revision>
  <dcterms:created xsi:type="dcterms:W3CDTF">2021-08-21T18:56:00Z</dcterms:created>
  <dcterms:modified xsi:type="dcterms:W3CDTF">2021-08-23T17:08:00Z</dcterms:modified>
</cp:coreProperties>
</file>