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6FB" w:rsidRDefault="007F375B">
      <w:pPr>
        <w:pStyle w:val="Title"/>
      </w:pPr>
      <w:r>
        <w:t>Catholic Polytechnic University</w:t>
      </w:r>
    </w:p>
    <w:p w:rsidR="00D136FB" w:rsidRDefault="007F375B">
      <w:pPr>
        <w:pStyle w:val="Subtitle"/>
        <w:rPr>
          <w:i/>
          <w:iCs w:val="0"/>
        </w:rPr>
      </w:pPr>
      <w:r>
        <w:rPr>
          <w:i/>
          <w:iCs w:val="0"/>
        </w:rPr>
        <w:t>Computer Science Department</w:t>
      </w:r>
    </w:p>
    <w:p w:rsidR="00D136FB" w:rsidRDefault="007F375B">
      <w:pPr>
        <w:pStyle w:val="Heading1"/>
      </w:pPr>
      <w:r>
        <w:t>CS</w:t>
      </w:r>
      <w:r>
        <w:rPr>
          <w:color w:val="000000"/>
        </w:rPr>
        <w:t>571 research funding and administration</w:t>
      </w:r>
    </w:p>
    <w:p w:rsidR="00D136FB" w:rsidRDefault="007F375B">
      <w:pPr>
        <w:pStyle w:val="Heading2"/>
      </w:pPr>
      <w:r>
        <w:t>General Course Information</w:t>
      </w:r>
    </w:p>
    <w:p w:rsidR="00D136FB" w:rsidRDefault="007F375B">
      <w:r>
        <w:rPr>
          <w:b/>
          <w:bCs/>
        </w:rPr>
        <w:t>Title</w:t>
      </w:r>
      <w:r>
        <w:t>: CS</w:t>
      </w:r>
      <w:r>
        <w:rPr>
          <w:color w:val="000000"/>
        </w:rPr>
        <w:t xml:space="preserve">571 Research Funding and Administration </w:t>
      </w:r>
    </w:p>
    <w:p w:rsidR="00D136FB" w:rsidRDefault="007F375B">
      <w:r>
        <w:rPr>
          <w:b/>
          <w:bCs/>
        </w:rPr>
        <w:t>Semester</w:t>
      </w:r>
      <w:r>
        <w:t>: Fall 202X</w:t>
      </w:r>
    </w:p>
    <w:p w:rsidR="00D136FB" w:rsidRDefault="007F375B">
      <w:r>
        <w:rPr>
          <w:b/>
        </w:rPr>
        <w:t>Class Days/Time</w:t>
      </w:r>
      <w:r>
        <w:t xml:space="preserve">: Monday, Wednesday and Friday, 1 hr, 3 </w:t>
      </w:r>
      <w:r>
        <w:t>Semester units, 45 clock hours</w:t>
      </w:r>
    </w:p>
    <w:p w:rsidR="00D136FB" w:rsidRDefault="007F375B">
      <w:r>
        <w:rPr>
          <w:b/>
        </w:rPr>
        <w:t>Classroom</w:t>
      </w:r>
      <w:r>
        <w:t xml:space="preserve">: To Be </w:t>
      </w:r>
      <w:r>
        <w:rPr>
          <w:color w:val="000000"/>
        </w:rPr>
        <w:t>Assigned</w:t>
      </w:r>
    </w:p>
    <w:p w:rsidR="00D136FB" w:rsidRDefault="007F375B">
      <w:pPr>
        <w:pStyle w:val="Heading2"/>
      </w:pPr>
      <w:r>
        <w:t>Course Description</w:t>
      </w:r>
    </w:p>
    <w:p w:rsidR="00D136FB" w:rsidRDefault="007F375B">
      <w:r>
        <w:rPr>
          <w:b/>
        </w:rPr>
        <w:t xml:space="preserve">University Catalog Description: </w:t>
      </w:r>
      <w:r>
        <w:t>This is an advanced course covering all of the major skills needed to properly conceive a research program, seek funding for it, staff it appropriately, manage it effectively and be familiar wi</w:t>
      </w:r>
      <w:r>
        <w:t>th legal and university policy mandates that must be followed.</w:t>
      </w:r>
    </w:p>
    <w:p w:rsidR="00D136FB" w:rsidRDefault="007F375B">
      <w:pPr>
        <w:pStyle w:val="Heading2"/>
      </w:pPr>
      <w:r>
        <w:t>Learning Objectives &amp; Outcomes</w:t>
      </w:r>
    </w:p>
    <w:p w:rsidR="00D136FB" w:rsidRDefault="007F375B">
      <w:pPr>
        <w:pStyle w:val="Heading3"/>
      </w:pPr>
      <w:r>
        <w:t>Student Learning Outcomes</w:t>
      </w:r>
    </w:p>
    <w:p w:rsidR="00D136FB" w:rsidRDefault="007F375B">
      <w:r>
        <w:t>Upon successful completion of this course, students will be able to:</w:t>
      </w:r>
    </w:p>
    <w:p w:rsidR="00D136FB" w:rsidRDefault="007F375B">
      <w:pPr>
        <w:pStyle w:val="ListParagraph"/>
        <w:numPr>
          <w:ilvl w:val="0"/>
          <w:numId w:val="1"/>
        </w:numPr>
      </w:pPr>
      <w:r>
        <w:t xml:space="preserve">SLO1 Understand the processes for administering research </w:t>
      </w:r>
    </w:p>
    <w:p w:rsidR="00D136FB" w:rsidRDefault="007F375B">
      <w:pPr>
        <w:pStyle w:val="ListParagraph"/>
        <w:numPr>
          <w:ilvl w:val="0"/>
          <w:numId w:val="1"/>
        </w:numPr>
      </w:pPr>
      <w:r>
        <w:t>SLO2 Impl</w:t>
      </w:r>
      <w:r>
        <w:t xml:space="preserve">ement practical management techniques </w:t>
      </w:r>
    </w:p>
    <w:p w:rsidR="00D136FB" w:rsidRDefault="007F375B">
      <w:pPr>
        <w:pStyle w:val="ListParagraph"/>
        <w:numPr>
          <w:ilvl w:val="0"/>
          <w:numId w:val="1"/>
        </w:numPr>
      </w:pPr>
      <w:r>
        <w:t xml:space="preserve">SLO3 Avoid disruptive admin errors in research </w:t>
      </w:r>
    </w:p>
    <w:p w:rsidR="00D136FB" w:rsidRDefault="007F375B">
      <w:pPr>
        <w:pStyle w:val="ListParagraph"/>
        <w:numPr>
          <w:ilvl w:val="0"/>
          <w:numId w:val="1"/>
        </w:numPr>
      </w:pPr>
      <w:r>
        <w:t xml:space="preserve">SLO4 Effectively seek funding from sources </w:t>
      </w:r>
    </w:p>
    <w:p w:rsidR="00D136FB" w:rsidRDefault="007F375B">
      <w:pPr>
        <w:pStyle w:val="Heading1"/>
      </w:pPr>
      <w:r>
        <w:t>equired Course Materials</w:t>
      </w:r>
    </w:p>
    <w:p w:rsidR="00D136FB" w:rsidRDefault="007F375B">
      <w:pPr>
        <w:pStyle w:val="Heading2"/>
      </w:pPr>
      <w:r>
        <w:t>Textbook</w:t>
      </w:r>
    </w:p>
    <w:p w:rsidR="00D136FB" w:rsidRDefault="00D136FB">
      <w:pPr>
        <w:spacing w:before="0" w:after="0"/>
        <w:rPr>
          <w:b/>
        </w:rPr>
      </w:pPr>
    </w:p>
    <w:p w:rsidR="00D136FB" w:rsidRDefault="007F375B">
      <w:pPr>
        <w:spacing w:before="0" w:after="0"/>
      </w:pPr>
      <w:r>
        <w:rPr>
          <w:b/>
        </w:rPr>
        <w:t xml:space="preserve">Title: </w:t>
      </w:r>
      <w:r>
        <w:t xml:space="preserve">Managing Scientists: Leadership </w:t>
      </w:r>
      <w:r>
        <w:t>Strategies in Scientific Research, Second Edition</w:t>
      </w:r>
    </w:p>
    <w:p w:rsidR="00D136FB" w:rsidRDefault="007F375B">
      <w:pPr>
        <w:spacing w:before="0" w:after="0"/>
      </w:pPr>
      <w:r>
        <w:rPr>
          <w:b/>
        </w:rPr>
        <w:t xml:space="preserve">Author: </w:t>
      </w:r>
      <w:r>
        <w:t xml:space="preserve">Alice M. </w:t>
      </w:r>
      <w:proofErr w:type="spellStart"/>
      <w:r>
        <w:t>Sapienza</w:t>
      </w:r>
      <w:proofErr w:type="spellEnd"/>
      <w:r>
        <w:t xml:space="preserve"> </w:t>
      </w:r>
    </w:p>
    <w:p w:rsidR="00D136FB" w:rsidRDefault="007F375B">
      <w:pPr>
        <w:spacing w:before="0" w:after="0"/>
      </w:pPr>
      <w:r>
        <w:rPr>
          <w:b/>
          <w:bCs/>
        </w:rPr>
        <w:t>ISBN</w:t>
      </w:r>
      <w:r>
        <w:t>: 978-0471226147</w:t>
      </w:r>
    </w:p>
    <w:p w:rsidR="00D136FB" w:rsidRDefault="00D136FB">
      <w:pPr>
        <w:spacing w:before="0" w:after="0"/>
        <w:rPr>
          <w:b/>
        </w:rPr>
      </w:pPr>
    </w:p>
    <w:p w:rsidR="00D136FB" w:rsidRDefault="007F375B">
      <w:pPr>
        <w:spacing w:before="0" w:after="0"/>
      </w:pPr>
      <w:r>
        <w:rPr>
          <w:b/>
        </w:rPr>
        <w:t xml:space="preserve">Title: </w:t>
      </w:r>
      <w:r>
        <w:t>The Mythical Man-Month: Essays on Software Engineering</w:t>
      </w:r>
    </w:p>
    <w:p w:rsidR="00D136FB" w:rsidRDefault="007F375B">
      <w:pPr>
        <w:spacing w:before="0" w:after="0"/>
      </w:pPr>
      <w:r>
        <w:rPr>
          <w:b/>
        </w:rPr>
        <w:t xml:space="preserve">Author: </w:t>
      </w:r>
      <w:r>
        <w:t xml:space="preserve">Prof Fredrick Brooks, </w:t>
      </w:r>
    </w:p>
    <w:p w:rsidR="00D136FB" w:rsidRDefault="007F375B">
      <w:pPr>
        <w:spacing w:before="0" w:after="0"/>
      </w:pPr>
      <w:r>
        <w:rPr>
          <w:b/>
          <w:bCs/>
        </w:rPr>
        <w:t>ISBN</w:t>
      </w:r>
      <w:r>
        <w:t>: 978-0201835953</w:t>
      </w:r>
    </w:p>
    <w:p w:rsidR="00D136FB" w:rsidRDefault="00D136FB">
      <w:pPr>
        <w:spacing w:before="0" w:after="0"/>
      </w:pPr>
    </w:p>
    <w:p w:rsidR="00D136FB" w:rsidRDefault="007F375B">
      <w:pPr>
        <w:spacing w:before="0" w:after="0"/>
      </w:pPr>
      <w:r>
        <w:rPr>
          <w:b/>
        </w:rPr>
        <w:t xml:space="preserve">Title: </w:t>
      </w:r>
      <w:r>
        <w:t>Hold Successful Meetings</w:t>
      </w:r>
    </w:p>
    <w:p w:rsidR="00D136FB" w:rsidRDefault="007F375B">
      <w:pPr>
        <w:spacing w:before="0" w:after="0"/>
      </w:pPr>
      <w:r>
        <w:rPr>
          <w:b/>
        </w:rPr>
        <w:t xml:space="preserve">Author: </w:t>
      </w:r>
      <w:r>
        <w:t xml:space="preserve">Katherine </w:t>
      </w:r>
      <w:proofErr w:type="spellStart"/>
      <w:r>
        <w:t>Kostoul</w:t>
      </w:r>
      <w:proofErr w:type="spellEnd"/>
    </w:p>
    <w:p w:rsidR="00D136FB" w:rsidRDefault="007F375B">
      <w:pPr>
        <w:spacing w:before="0" w:after="0"/>
      </w:pPr>
      <w:r>
        <w:rPr>
          <w:b/>
          <w:bCs/>
        </w:rPr>
        <w:t>ISBN</w:t>
      </w:r>
      <w:r>
        <w:t xml:space="preserve">: 978-0241481950 </w:t>
      </w:r>
    </w:p>
    <w:p w:rsidR="00D136FB" w:rsidRDefault="007F375B">
      <w:pPr>
        <w:pStyle w:val="Heading1"/>
        <w:keepNext/>
        <w:keepLines/>
      </w:pPr>
      <w:r>
        <w:lastRenderedPageBreak/>
        <w:t>CLASS</w:t>
      </w:r>
      <w:r w:rsidR="00484D47">
        <w:t xml:space="preserve"> </w:t>
      </w:r>
      <w:r>
        <w:t>S</w:t>
      </w:r>
      <w:r>
        <w:t>CHEDULE</w:t>
      </w:r>
    </w:p>
    <w:tbl>
      <w:tblPr>
        <w:tblStyle w:val="PlainTable2"/>
        <w:tblW w:w="8754" w:type="dxa"/>
        <w:tblInd w:w="120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929"/>
        <w:gridCol w:w="2610"/>
        <w:gridCol w:w="2609"/>
        <w:gridCol w:w="2606"/>
      </w:tblGrid>
      <w:tr w:rsidR="00D136FB" w:rsidTr="007F375B">
        <w:trPr>
          <w:cnfStyle w:val="000000100000"/>
          <w:cantSplit/>
          <w:trHeight w:val="432"/>
        </w:trPr>
        <w:tc>
          <w:tcPr>
            <w:cnfStyle w:val="000010000000"/>
            <w:tcW w:w="929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vAlign w:val="center"/>
          </w:tcPr>
          <w:p w:rsidR="00D136FB" w:rsidRDefault="007F375B">
            <w:pPr>
              <w:keepNext/>
              <w:widowControl w:val="0"/>
              <w:spacing w:before="0" w:after="0"/>
              <w:jc w:val="center"/>
              <w:rPr>
                <w:b/>
                <w:bCs/>
                <w:sz w:val="36"/>
                <w:vertAlign w:val="superscript"/>
              </w:rPr>
            </w:pPr>
            <w:r>
              <w:rPr>
                <w:b/>
                <w:bCs/>
              </w:rPr>
              <w:t>Week</w:t>
            </w:r>
          </w:p>
        </w:tc>
        <w:tc>
          <w:tcPr>
            <w:cnfStyle w:val="000001000000"/>
            <w:tcW w:w="2610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</w:tcPr>
          <w:p w:rsidR="00D136FB" w:rsidRDefault="007F375B">
            <w:pPr>
              <w:widowControl w:val="0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cnfStyle w:val="000010000000"/>
            <w:tcW w:w="2609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</w:tcPr>
          <w:p w:rsidR="00D136FB" w:rsidRDefault="007F375B">
            <w:pPr>
              <w:widowControl w:val="0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cnfStyle w:val="000001000000"/>
            <w:tcW w:w="2606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</w:tcPr>
          <w:p w:rsidR="00D136FB" w:rsidRDefault="007F375B">
            <w:pPr>
              <w:widowControl w:val="0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</w:tr>
      <w:tr w:rsidR="00D136FB" w:rsidTr="007F375B">
        <w:trPr>
          <w:trHeight w:val="432"/>
        </w:trPr>
        <w:tc>
          <w:tcPr>
            <w:cnfStyle w:val="000010000000"/>
            <w:tcW w:w="92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D136FB" w:rsidRDefault="007F375B">
            <w:pPr>
              <w:keepNext/>
              <w:widowControl w:val="0"/>
              <w:spacing w:before="0" w:after="0"/>
              <w:jc w:val="center"/>
              <w:rPr>
                <w:sz w:val="36"/>
                <w:vertAlign w:val="superscript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cnfStyle w:val="000001000000"/>
            <w:tcW w:w="2610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D136FB" w:rsidRDefault="007F375B">
            <w:pPr>
              <w:widowControl w:val="0"/>
            </w:pPr>
            <w:r>
              <w:t xml:space="preserve">Introduction: to funding for research staff, course goals, required </w:t>
            </w:r>
            <w:r>
              <w:t>texts, identification of unique issues of interest, and grading parameters</w:t>
            </w:r>
          </w:p>
        </w:tc>
        <w:tc>
          <w:tcPr>
            <w:cnfStyle w:val="000010000000"/>
            <w:tcW w:w="260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D136FB" w:rsidRDefault="007F375B">
            <w:pPr>
              <w:widowControl w:val="0"/>
            </w:pPr>
            <w:r>
              <w:t>History and basis of research funding philosophies, funders’ organizations, basic accounting concepts, origin of funding types,</w:t>
            </w:r>
          </w:p>
        </w:tc>
        <w:tc>
          <w:tcPr>
            <w:cnfStyle w:val="000001000000"/>
            <w:tcW w:w="260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D136FB" w:rsidRDefault="007F375B">
            <w:pPr>
              <w:widowControl w:val="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Trends, alternative futures, and university sponsored</w:t>
            </w:r>
            <w:r>
              <w:rPr>
                <w:color w:val="000000"/>
              </w:rPr>
              <w:t xml:space="preserve"> research organizations</w:t>
            </w:r>
          </w:p>
        </w:tc>
      </w:tr>
      <w:tr w:rsidR="00D136FB" w:rsidTr="007F375B">
        <w:trPr>
          <w:cnfStyle w:val="000000100000"/>
          <w:cantSplit/>
          <w:trHeight w:val="432"/>
        </w:trPr>
        <w:tc>
          <w:tcPr>
            <w:cnfStyle w:val="000010000000"/>
            <w:tcW w:w="929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vAlign w:val="center"/>
          </w:tcPr>
          <w:p w:rsidR="00D136FB" w:rsidRDefault="007F375B">
            <w:pPr>
              <w:keepNext/>
              <w:widowControl w:val="0"/>
              <w:spacing w:before="0" w:after="0"/>
              <w:jc w:val="center"/>
              <w:rPr>
                <w:sz w:val="36"/>
                <w:vertAlign w:val="superscript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cnfStyle w:val="000001000000"/>
            <w:tcW w:w="2610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</w:tcPr>
          <w:p w:rsidR="00D136FB" w:rsidRDefault="007F375B">
            <w:pPr>
              <w:widowControl w:val="0"/>
            </w:pPr>
            <w:r>
              <w:t>Research funding requirements and definition of costs, basis for university accounting methods (both local and others)</w:t>
            </w:r>
          </w:p>
        </w:tc>
        <w:tc>
          <w:tcPr>
            <w:cnfStyle w:val="000010000000"/>
            <w:tcW w:w="2609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</w:tcPr>
          <w:p w:rsidR="00D136FB" w:rsidRDefault="007F375B">
            <w:pPr>
              <w:widowControl w:val="0"/>
            </w:pPr>
            <w:r>
              <w:t>Concepts of research planning, scoping the effort, elements of the budget: personnel, benefits</w:t>
            </w:r>
          </w:p>
        </w:tc>
        <w:tc>
          <w:tcPr>
            <w:cnfStyle w:val="000001000000"/>
            <w:tcW w:w="2606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</w:tcPr>
          <w:p w:rsidR="00D136FB" w:rsidRDefault="007F375B">
            <w:pPr>
              <w:widowControl w:val="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Travel, supplie</w:t>
            </w:r>
            <w:r>
              <w:rPr>
                <w:color w:val="000000"/>
              </w:rPr>
              <w:t>s, equipment, consultants, sub-contracts, indirect costs, cost-sharing, and other funding line items.</w:t>
            </w:r>
          </w:p>
        </w:tc>
      </w:tr>
      <w:tr w:rsidR="00D136FB" w:rsidTr="007F375B">
        <w:trPr>
          <w:cantSplit/>
          <w:trHeight w:val="432"/>
        </w:trPr>
        <w:tc>
          <w:tcPr>
            <w:cnfStyle w:val="000010000000"/>
            <w:tcW w:w="92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D136FB" w:rsidRDefault="007F375B">
            <w:pPr>
              <w:keepNext/>
              <w:widowControl w:val="0"/>
              <w:spacing w:before="0" w:after="0"/>
              <w:jc w:val="center"/>
              <w:rPr>
                <w:sz w:val="36"/>
                <w:vertAlign w:val="superscript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cnfStyle w:val="000001000000"/>
            <w:tcW w:w="2610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D136FB" w:rsidRDefault="007F375B">
            <w:pPr>
              <w:widowControl w:val="0"/>
            </w:pPr>
            <w:r>
              <w:t>Identification of funding sources: Research and approaches - Governmental authority to fund, Commerce Business Daily, university resources</w:t>
            </w:r>
          </w:p>
          <w:p w:rsidR="00D136FB" w:rsidRDefault="00D136FB">
            <w:pPr>
              <w:widowControl w:val="0"/>
            </w:pPr>
          </w:p>
        </w:tc>
        <w:tc>
          <w:tcPr>
            <w:cnfStyle w:val="000010000000"/>
            <w:tcW w:w="260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D136FB" w:rsidRDefault="007F375B">
            <w:pPr>
              <w:widowControl w:val="0"/>
            </w:pPr>
            <w:r>
              <w:t>Conventions, governmental entities, foundation indices, networking with senior researchers, and</w:t>
            </w:r>
          </w:p>
        </w:tc>
        <w:tc>
          <w:tcPr>
            <w:cnfStyle w:val="000001000000"/>
            <w:tcW w:w="260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D136FB" w:rsidRDefault="007F375B">
            <w:pPr>
              <w:widowControl w:val="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Use of consultants, Washington liaisons/lobbyists, and alumni.</w:t>
            </w:r>
          </w:p>
        </w:tc>
      </w:tr>
      <w:tr w:rsidR="00D136FB" w:rsidTr="007F375B">
        <w:trPr>
          <w:cnfStyle w:val="000000100000"/>
          <w:cantSplit/>
          <w:trHeight w:val="432"/>
        </w:trPr>
        <w:tc>
          <w:tcPr>
            <w:cnfStyle w:val="000010000000"/>
            <w:tcW w:w="929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vAlign w:val="center"/>
          </w:tcPr>
          <w:p w:rsidR="00D136FB" w:rsidRDefault="007F375B">
            <w:pPr>
              <w:keepNext/>
              <w:widowControl w:val="0"/>
              <w:spacing w:before="0" w:after="0"/>
              <w:jc w:val="center"/>
              <w:rPr>
                <w:sz w:val="36"/>
                <w:vertAlign w:val="superscript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cnfStyle w:val="000001000000"/>
            <w:tcW w:w="2610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</w:tcPr>
          <w:p w:rsidR="00D136FB" w:rsidRDefault="007F375B">
            <w:pPr>
              <w:widowControl w:val="0"/>
            </w:pPr>
            <w:r>
              <w:t xml:space="preserve">Establishing/managing teams &amp; collaborations, history and justification of multi-institution </w:t>
            </w:r>
            <w:r>
              <w:t>research, scoping the effort, analyzing proposal strengths</w:t>
            </w:r>
          </w:p>
        </w:tc>
        <w:tc>
          <w:tcPr>
            <w:cnfStyle w:val="000010000000"/>
            <w:tcW w:w="2609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</w:tcPr>
          <w:p w:rsidR="00D136FB" w:rsidRDefault="007F375B">
            <w:pPr>
              <w:widowControl w:val="0"/>
            </w:pPr>
            <w:r>
              <w:t>Coordination costs, sharing credit, management, indirect cost distribution, personality factors, and an objective view.</w:t>
            </w:r>
          </w:p>
        </w:tc>
        <w:tc>
          <w:tcPr>
            <w:cnfStyle w:val="000001000000"/>
            <w:tcW w:w="2606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vAlign w:val="center"/>
          </w:tcPr>
          <w:p w:rsidR="00D136FB" w:rsidRDefault="007F375B">
            <w:pPr>
              <w:widowControl w:val="0"/>
              <w:spacing w:before="0"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Exam 1</w:t>
            </w:r>
          </w:p>
        </w:tc>
      </w:tr>
      <w:tr w:rsidR="00D136FB" w:rsidTr="007F375B">
        <w:trPr>
          <w:cantSplit/>
          <w:trHeight w:val="432"/>
        </w:trPr>
        <w:tc>
          <w:tcPr>
            <w:cnfStyle w:val="000010000000"/>
            <w:tcW w:w="929" w:type="dxa"/>
            <w:tcBorders>
              <w:top w:val="single" w:sz="4" w:space="0" w:color="000000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D136FB" w:rsidRDefault="007F375B">
            <w:pPr>
              <w:keepNext/>
              <w:widowControl w:val="0"/>
              <w:spacing w:before="0" w:after="0"/>
              <w:jc w:val="center"/>
              <w:rPr>
                <w:sz w:val="36"/>
                <w:vertAlign w:val="superscript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cnfStyle w:val="000001000000"/>
            <w:tcW w:w="2610" w:type="dxa"/>
            <w:tcBorders>
              <w:top w:val="single" w:sz="4" w:space="0" w:color="000000"/>
              <w:left w:val="single" w:sz="4" w:space="0" w:color="7F7F7F"/>
              <w:bottom w:val="nil"/>
              <w:right w:val="single" w:sz="4" w:space="0" w:color="7F7F7F"/>
            </w:tcBorders>
          </w:tcPr>
          <w:p w:rsidR="00D136FB" w:rsidRDefault="007F375B">
            <w:pPr>
              <w:widowControl w:val="0"/>
            </w:pPr>
            <w:r>
              <w:t xml:space="preserve">Identifying funders, writing a good proposal and application, </w:t>
            </w:r>
            <w:r>
              <w:t>conceptual approaches to funding, types of requests and announcements</w:t>
            </w:r>
          </w:p>
        </w:tc>
        <w:tc>
          <w:tcPr>
            <w:cnfStyle w:val="000010000000"/>
            <w:tcW w:w="2609" w:type="dxa"/>
            <w:tcBorders>
              <w:top w:val="single" w:sz="4" w:space="0" w:color="000000"/>
              <w:left w:val="single" w:sz="4" w:space="0" w:color="7F7F7F"/>
              <w:bottom w:val="nil"/>
              <w:right w:val="single" w:sz="4" w:space="0" w:color="7F7F7F"/>
            </w:tcBorders>
          </w:tcPr>
          <w:p w:rsidR="00D136FB" w:rsidRDefault="007F375B">
            <w:pPr>
              <w:widowControl w:val="0"/>
            </w:pPr>
            <w:r>
              <w:t>Interpreting the RFP, identifying the unstated goal, anticipating the competition, logistics for proposing, site visits, and “red team” reviews.</w:t>
            </w:r>
          </w:p>
        </w:tc>
        <w:tc>
          <w:tcPr>
            <w:cnfStyle w:val="000001000000"/>
            <w:tcW w:w="2606" w:type="dxa"/>
            <w:tcBorders>
              <w:top w:val="single" w:sz="4" w:space="0" w:color="000000"/>
              <w:left w:val="single" w:sz="4" w:space="0" w:color="7F7F7F"/>
              <w:bottom w:val="nil"/>
              <w:right w:val="single" w:sz="4" w:space="0" w:color="7F7F7F"/>
            </w:tcBorders>
          </w:tcPr>
          <w:p w:rsidR="00D136FB" w:rsidRDefault="007F375B">
            <w:pPr>
              <w:widowControl w:val="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Thinking like the funder/peer, organizing</w:t>
            </w:r>
            <w:r>
              <w:rPr>
                <w:color w:val="000000"/>
              </w:rPr>
              <w:t xml:space="preserve"> to write the proposal, aesthetics, anticipating the university</w:t>
            </w:r>
          </w:p>
        </w:tc>
      </w:tr>
      <w:tr w:rsidR="00D136FB" w:rsidTr="007F375B">
        <w:trPr>
          <w:cnfStyle w:val="000000100000"/>
          <w:cantSplit/>
          <w:trHeight w:val="432"/>
        </w:trPr>
        <w:tc>
          <w:tcPr>
            <w:cnfStyle w:val="000010000000"/>
            <w:tcW w:w="929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vAlign w:val="center"/>
          </w:tcPr>
          <w:p w:rsidR="00D136FB" w:rsidRDefault="007F375B">
            <w:pPr>
              <w:keepNext/>
              <w:widowControl w:val="0"/>
              <w:spacing w:before="0" w:after="0"/>
              <w:jc w:val="center"/>
              <w:rPr>
                <w:sz w:val="36"/>
                <w:vertAlign w:val="superscript"/>
              </w:rPr>
            </w:pPr>
            <w:r>
              <w:rPr>
                <w:b/>
                <w:bCs/>
              </w:rPr>
              <w:lastRenderedPageBreak/>
              <w:t>6</w:t>
            </w:r>
          </w:p>
        </w:tc>
        <w:tc>
          <w:tcPr>
            <w:cnfStyle w:val="000001000000"/>
            <w:tcW w:w="2610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</w:tcPr>
          <w:p w:rsidR="00D136FB" w:rsidRDefault="007F375B">
            <w:pPr>
              <w:widowControl w:val="0"/>
            </w:pPr>
            <w:r>
              <w:t>Sponsor relations</w:t>
            </w:r>
          </w:p>
          <w:p w:rsidR="00D136FB" w:rsidRDefault="007F375B">
            <w:pPr>
              <w:widowControl w:val="0"/>
            </w:pPr>
            <w:r>
              <w:t>Differing stances of foundations and sponsor representatives</w:t>
            </w:r>
          </w:p>
        </w:tc>
        <w:tc>
          <w:tcPr>
            <w:cnfStyle w:val="000010000000"/>
            <w:tcW w:w="2609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</w:tcPr>
          <w:p w:rsidR="00D136FB" w:rsidRDefault="007F375B">
            <w:pPr>
              <w:widowControl w:val="0"/>
            </w:pPr>
            <w:r>
              <w:t>The rules and traditions of relationship, emails, phone-cons, visits to the sponsor, reports,</w:t>
            </w:r>
          </w:p>
        </w:tc>
        <w:tc>
          <w:tcPr>
            <w:cnfStyle w:val="000001000000"/>
            <w:tcW w:w="2606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</w:tcPr>
          <w:p w:rsidR="00D136FB" w:rsidRDefault="007F375B">
            <w:pPr>
              <w:widowControl w:val="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Budget </w:t>
            </w:r>
            <w:r>
              <w:rPr>
                <w:color w:val="000000"/>
              </w:rPr>
              <w:t>information, site visits, and handling pathological relations.</w:t>
            </w:r>
          </w:p>
        </w:tc>
      </w:tr>
      <w:tr w:rsidR="00D136FB" w:rsidTr="007F375B">
        <w:trPr>
          <w:cantSplit/>
          <w:trHeight w:val="432"/>
        </w:trPr>
        <w:tc>
          <w:tcPr>
            <w:cnfStyle w:val="000010000000"/>
            <w:tcW w:w="92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D136FB" w:rsidRDefault="007F375B">
            <w:pPr>
              <w:keepNext/>
              <w:widowControl w:val="0"/>
              <w:spacing w:before="0" w:after="0"/>
              <w:jc w:val="center"/>
              <w:rPr>
                <w:sz w:val="36"/>
                <w:vertAlign w:val="superscript"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cnfStyle w:val="000001000000"/>
            <w:tcW w:w="2610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D136FB" w:rsidRDefault="007F375B">
            <w:pPr>
              <w:widowControl w:val="0"/>
            </w:pPr>
            <w:r>
              <w:t>Government relations Constitutional foundation, government entities, the ethics of a professional relationship</w:t>
            </w:r>
          </w:p>
        </w:tc>
        <w:tc>
          <w:tcPr>
            <w:cnfStyle w:val="000010000000"/>
            <w:tcW w:w="260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D136FB" w:rsidRDefault="007F375B">
            <w:pPr>
              <w:widowControl w:val="0"/>
            </w:pPr>
            <w:r>
              <w:t xml:space="preserve">Sponsor-researcher-congressional relations, professional association </w:t>
            </w:r>
            <w:r>
              <w:t>activities.</w:t>
            </w:r>
          </w:p>
        </w:tc>
        <w:tc>
          <w:tcPr>
            <w:cnfStyle w:val="000001000000"/>
            <w:tcW w:w="260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D136FB" w:rsidRDefault="007F375B">
            <w:pPr>
              <w:widowControl w:val="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Ethical considerations of working with a congressional delegation.</w:t>
            </w:r>
          </w:p>
        </w:tc>
      </w:tr>
      <w:tr w:rsidR="00D136FB" w:rsidTr="007F375B">
        <w:trPr>
          <w:cnfStyle w:val="000000100000"/>
          <w:cantSplit/>
          <w:trHeight w:val="432"/>
        </w:trPr>
        <w:tc>
          <w:tcPr>
            <w:cnfStyle w:val="000010000000"/>
            <w:tcW w:w="929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vAlign w:val="center"/>
          </w:tcPr>
          <w:p w:rsidR="00D136FB" w:rsidRDefault="007F375B">
            <w:pPr>
              <w:keepNext/>
              <w:widowControl w:val="0"/>
              <w:spacing w:before="0" w:after="0"/>
              <w:jc w:val="center"/>
              <w:rPr>
                <w:sz w:val="36"/>
                <w:vertAlign w:val="superscript"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cnfStyle w:val="000001000000"/>
            <w:tcW w:w="2610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</w:tcPr>
          <w:p w:rsidR="00D136FB" w:rsidRDefault="007F375B">
            <w:pPr>
              <w:widowControl w:val="0"/>
            </w:pPr>
            <w:r>
              <w:t>Research ethics: Ethical considerations of researcher, human subjects, IRB’s, controlling regulations,</w:t>
            </w:r>
          </w:p>
        </w:tc>
        <w:tc>
          <w:tcPr>
            <w:cnfStyle w:val="000010000000"/>
            <w:tcW w:w="2609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</w:tcPr>
          <w:p w:rsidR="00D136FB" w:rsidRDefault="007F375B">
            <w:pPr>
              <w:widowControl w:val="0"/>
            </w:pPr>
            <w:r>
              <w:t xml:space="preserve">Certifications required, personal responsibility, defense research, </w:t>
            </w:r>
            <w:r>
              <w:t>classified material, and security clearances</w:t>
            </w:r>
          </w:p>
        </w:tc>
        <w:tc>
          <w:tcPr>
            <w:cnfStyle w:val="000001000000"/>
            <w:tcW w:w="2606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vAlign w:val="center"/>
          </w:tcPr>
          <w:p w:rsidR="00D136FB" w:rsidRDefault="007F375B">
            <w:pPr>
              <w:widowControl w:val="0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>
              <w:rPr>
                <w:b/>
                <w:bCs/>
                <w:color w:val="000000"/>
              </w:rPr>
              <w:t>xam</w:t>
            </w:r>
            <w:r>
              <w:rPr>
                <w:b/>
                <w:bCs/>
              </w:rPr>
              <w:t xml:space="preserve"> 2</w:t>
            </w:r>
          </w:p>
        </w:tc>
      </w:tr>
      <w:tr w:rsidR="00D136FB" w:rsidTr="007F375B">
        <w:trPr>
          <w:cantSplit/>
          <w:trHeight w:val="432"/>
        </w:trPr>
        <w:tc>
          <w:tcPr>
            <w:cnfStyle w:val="000010000000"/>
            <w:tcW w:w="92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D136FB" w:rsidRDefault="007F375B">
            <w:pPr>
              <w:keepNext/>
              <w:widowControl w:val="0"/>
              <w:spacing w:before="0" w:after="0"/>
              <w:jc w:val="center"/>
              <w:rPr>
                <w:sz w:val="36"/>
                <w:vertAlign w:val="superscript"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cnfStyle w:val="000001000000"/>
            <w:tcW w:w="2610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D136FB" w:rsidRDefault="007F375B">
            <w:pPr>
              <w:widowControl w:val="0"/>
            </w:pPr>
            <w:r>
              <w:t>The law and international researchers</w:t>
            </w:r>
          </w:p>
        </w:tc>
        <w:tc>
          <w:tcPr>
            <w:cnfStyle w:val="000010000000"/>
            <w:tcW w:w="260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D136FB" w:rsidRDefault="007F375B">
            <w:pPr>
              <w:widowControl w:val="0"/>
            </w:pPr>
            <w:r>
              <w:t>Basic immigration law concepts, H1b and other visas, INS,</w:t>
            </w:r>
          </w:p>
        </w:tc>
        <w:tc>
          <w:tcPr>
            <w:cnfStyle w:val="000001000000"/>
            <w:tcW w:w="260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D136FB" w:rsidRDefault="007F375B">
            <w:pPr>
              <w:widowControl w:val="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Recruiting overseas, and avoiding trouble, export controls.</w:t>
            </w:r>
          </w:p>
        </w:tc>
      </w:tr>
      <w:tr w:rsidR="00D136FB" w:rsidTr="007F375B">
        <w:trPr>
          <w:cnfStyle w:val="000000100000"/>
          <w:cantSplit/>
          <w:trHeight w:val="432"/>
        </w:trPr>
        <w:tc>
          <w:tcPr>
            <w:cnfStyle w:val="000010000000"/>
            <w:tcW w:w="929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vAlign w:val="center"/>
          </w:tcPr>
          <w:p w:rsidR="00D136FB" w:rsidRDefault="007F375B">
            <w:pPr>
              <w:keepNext/>
              <w:widowControl w:val="0"/>
              <w:spacing w:before="0" w:after="0"/>
              <w:jc w:val="center"/>
              <w:rPr>
                <w:sz w:val="36"/>
                <w:vertAlign w:val="superscript"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cnfStyle w:val="000001000000"/>
            <w:tcW w:w="2610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</w:tcPr>
          <w:p w:rsidR="00D136FB" w:rsidRDefault="007F375B">
            <w:pPr>
              <w:widowControl w:val="0"/>
            </w:pPr>
            <w:r>
              <w:t xml:space="preserve">Intellectual property law: Foundation of </w:t>
            </w:r>
            <w:r>
              <w:t>IP law</w:t>
            </w:r>
          </w:p>
        </w:tc>
        <w:tc>
          <w:tcPr>
            <w:cnfStyle w:val="000010000000"/>
            <w:tcW w:w="2609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</w:tcPr>
          <w:p w:rsidR="00D136FB" w:rsidRDefault="007F375B">
            <w:pPr>
              <w:widowControl w:val="0"/>
            </w:pPr>
            <w:r>
              <w:t>, impact of IP issues, basic procedures to follow, university ownership of researchers IP,</w:t>
            </w:r>
          </w:p>
        </w:tc>
        <w:tc>
          <w:tcPr>
            <w:cnfStyle w:val="000001000000"/>
            <w:tcW w:w="2606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</w:tcPr>
          <w:p w:rsidR="00D136FB" w:rsidRDefault="007F375B">
            <w:pPr>
              <w:widowControl w:val="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NDAs and licensing.</w:t>
            </w:r>
          </w:p>
        </w:tc>
      </w:tr>
      <w:tr w:rsidR="00D136FB" w:rsidTr="007F375B">
        <w:trPr>
          <w:cantSplit/>
          <w:trHeight w:val="432"/>
        </w:trPr>
        <w:tc>
          <w:tcPr>
            <w:cnfStyle w:val="000010000000"/>
            <w:tcW w:w="92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D136FB" w:rsidRDefault="007F375B">
            <w:pPr>
              <w:keepNext/>
              <w:widowControl w:val="0"/>
              <w:spacing w:before="0" w:after="0"/>
              <w:jc w:val="center"/>
              <w:rPr>
                <w:sz w:val="36"/>
                <w:vertAlign w:val="superscript"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cnfStyle w:val="000001000000"/>
            <w:tcW w:w="2610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D136FB" w:rsidRDefault="007F375B">
            <w:pPr>
              <w:widowControl w:val="0"/>
            </w:pPr>
            <w:r>
              <w:t>Financial and ethical issues of corporate sponsorship: Corporate attitudes toward university research</w:t>
            </w:r>
          </w:p>
        </w:tc>
        <w:tc>
          <w:tcPr>
            <w:cnfStyle w:val="000010000000"/>
            <w:tcW w:w="260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D136FB" w:rsidRDefault="007F375B">
            <w:pPr>
              <w:widowControl w:val="0"/>
            </w:pPr>
            <w:r>
              <w:t>Various entrées to corporations,</w:t>
            </w:r>
            <w:r>
              <w:t xml:space="preserve"> equipment donations, IP issues, CREDAs, recruiting issues, consultant agreements,</w:t>
            </w:r>
          </w:p>
        </w:tc>
        <w:tc>
          <w:tcPr>
            <w:cnfStyle w:val="000001000000"/>
            <w:tcW w:w="260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D136FB" w:rsidRDefault="007F375B">
            <w:pPr>
              <w:widowControl w:val="0"/>
              <w:spacing w:before="0" w:after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using</w:t>
            </w:r>
            <w:proofErr w:type="gramEnd"/>
            <w:r>
              <w:rPr>
                <w:color w:val="000000"/>
              </w:rPr>
              <w:t xml:space="preserve"> alumni, internships endowments, industrial associates, and recruiting visits, visiting professors from industry.</w:t>
            </w:r>
          </w:p>
        </w:tc>
      </w:tr>
      <w:tr w:rsidR="00D136FB" w:rsidTr="007F375B">
        <w:trPr>
          <w:cnfStyle w:val="000000100000"/>
          <w:cantSplit/>
          <w:trHeight w:val="432"/>
        </w:trPr>
        <w:tc>
          <w:tcPr>
            <w:cnfStyle w:val="000010000000"/>
            <w:tcW w:w="929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vAlign w:val="center"/>
          </w:tcPr>
          <w:p w:rsidR="00D136FB" w:rsidRDefault="007F375B">
            <w:pPr>
              <w:keepNext/>
              <w:widowControl w:val="0"/>
              <w:spacing w:before="0" w:after="0"/>
              <w:jc w:val="center"/>
              <w:rPr>
                <w:sz w:val="36"/>
                <w:vertAlign w:val="superscript"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cnfStyle w:val="000001000000"/>
            <w:tcW w:w="2610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</w:tcPr>
          <w:p w:rsidR="00D136FB" w:rsidRDefault="007F375B">
            <w:pPr>
              <w:widowControl w:val="0"/>
            </w:pPr>
            <w:r>
              <w:t xml:space="preserve">Non-profit foundations, universities, and Go's: </w:t>
            </w:r>
            <w:r>
              <w:t>Types of foundations, understanding foundations’ goals,</w:t>
            </w:r>
          </w:p>
        </w:tc>
        <w:tc>
          <w:tcPr>
            <w:cnfStyle w:val="000010000000"/>
            <w:tcW w:w="2609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</w:tcPr>
          <w:p w:rsidR="00D136FB" w:rsidRDefault="007F375B">
            <w:pPr>
              <w:widowControl w:val="0"/>
            </w:pPr>
            <w:r>
              <w:t>Communicating with foundation officers, university clearance to solicit, and coordinating with development office.</w:t>
            </w:r>
          </w:p>
        </w:tc>
        <w:tc>
          <w:tcPr>
            <w:cnfStyle w:val="000001000000"/>
            <w:tcW w:w="2606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vAlign w:val="center"/>
          </w:tcPr>
          <w:p w:rsidR="00D136FB" w:rsidRDefault="007F375B">
            <w:pPr>
              <w:widowControl w:val="0"/>
              <w:spacing w:before="0" w:after="0"/>
              <w:ind w:right="98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Exam 3</w:t>
            </w:r>
          </w:p>
        </w:tc>
      </w:tr>
      <w:tr w:rsidR="00D136FB" w:rsidTr="007F375B">
        <w:trPr>
          <w:cantSplit/>
          <w:trHeight w:val="432"/>
        </w:trPr>
        <w:tc>
          <w:tcPr>
            <w:cnfStyle w:val="000010000000"/>
            <w:tcW w:w="929" w:type="dxa"/>
            <w:tcBorders>
              <w:top w:val="single" w:sz="4" w:space="0" w:color="000000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D136FB" w:rsidRDefault="007F375B">
            <w:pPr>
              <w:keepNext/>
              <w:widowControl w:val="0"/>
              <w:spacing w:before="0" w:after="0"/>
              <w:jc w:val="center"/>
              <w:rPr>
                <w:sz w:val="36"/>
                <w:vertAlign w:val="superscript"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cnfStyle w:val="000001000000"/>
            <w:tcW w:w="2610" w:type="dxa"/>
            <w:tcBorders>
              <w:top w:val="single" w:sz="4" w:space="0" w:color="000000"/>
              <w:left w:val="single" w:sz="4" w:space="0" w:color="7F7F7F"/>
              <w:bottom w:val="nil"/>
              <w:right w:val="single" w:sz="4" w:space="0" w:color="7F7F7F"/>
            </w:tcBorders>
          </w:tcPr>
          <w:p w:rsidR="00D136FB" w:rsidRDefault="007F375B">
            <w:pPr>
              <w:widowControl w:val="0"/>
              <w:ind w:right="-18"/>
            </w:pPr>
            <w:r>
              <w:t xml:space="preserve">Administration of the research project: Types of funding vehicles, </w:t>
            </w:r>
            <w:r>
              <w:t>relations with university contracts office</w:t>
            </w:r>
          </w:p>
        </w:tc>
        <w:tc>
          <w:tcPr>
            <w:cnfStyle w:val="000010000000"/>
            <w:tcW w:w="2609" w:type="dxa"/>
            <w:tcBorders>
              <w:top w:val="single" w:sz="4" w:space="0" w:color="000000"/>
              <w:left w:val="single" w:sz="4" w:space="0" w:color="7F7F7F"/>
              <w:bottom w:val="nil"/>
              <w:right w:val="single" w:sz="4" w:space="0" w:color="7F7F7F"/>
            </w:tcBorders>
          </w:tcPr>
          <w:p w:rsidR="00D136FB" w:rsidRDefault="007F375B">
            <w:pPr>
              <w:widowControl w:val="0"/>
            </w:pPr>
            <w:r>
              <w:t>Receipt of funding, records, reporting, managing cash-flow, working with funder program manager,</w:t>
            </w:r>
          </w:p>
        </w:tc>
        <w:tc>
          <w:tcPr>
            <w:cnfStyle w:val="000001000000"/>
            <w:tcW w:w="2606" w:type="dxa"/>
            <w:tcBorders>
              <w:top w:val="single" w:sz="4" w:space="0" w:color="000000"/>
              <w:left w:val="single" w:sz="4" w:space="0" w:color="7F7F7F"/>
              <w:bottom w:val="nil"/>
              <w:right w:val="single" w:sz="4" w:space="0" w:color="7F7F7F"/>
            </w:tcBorders>
          </w:tcPr>
          <w:p w:rsidR="00D136FB" w:rsidRDefault="007F375B">
            <w:pPr>
              <w:widowControl w:val="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Preparing for sponsor visits, and giving sponsorship credit</w:t>
            </w:r>
          </w:p>
        </w:tc>
      </w:tr>
      <w:tr w:rsidR="00D136FB" w:rsidTr="007F375B">
        <w:trPr>
          <w:cnfStyle w:val="000000100000"/>
          <w:cantSplit/>
          <w:trHeight w:val="432"/>
        </w:trPr>
        <w:tc>
          <w:tcPr>
            <w:cnfStyle w:val="000010000000"/>
            <w:tcW w:w="929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vAlign w:val="center"/>
          </w:tcPr>
          <w:p w:rsidR="00D136FB" w:rsidRDefault="007F375B">
            <w:pPr>
              <w:keepNext/>
              <w:widowControl w:val="0"/>
              <w:spacing w:before="0" w:after="0"/>
              <w:jc w:val="center"/>
              <w:rPr>
                <w:sz w:val="36"/>
                <w:vertAlign w:val="superscript"/>
              </w:rPr>
            </w:pPr>
            <w:r>
              <w:rPr>
                <w:b/>
                <w:bCs/>
              </w:rPr>
              <w:lastRenderedPageBreak/>
              <w:t>13</w:t>
            </w:r>
          </w:p>
        </w:tc>
        <w:tc>
          <w:tcPr>
            <w:cnfStyle w:val="000001000000"/>
            <w:tcW w:w="2610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</w:tcPr>
          <w:p w:rsidR="00D136FB" w:rsidRDefault="007F375B">
            <w:pPr>
              <w:widowControl w:val="0"/>
              <w:ind w:right="-18"/>
            </w:pPr>
            <w:r>
              <w:t xml:space="preserve">Management theory and contractual actions: </w:t>
            </w:r>
            <w:r>
              <w:t>Extensions, renewals, delivery orders</w:t>
            </w:r>
          </w:p>
        </w:tc>
        <w:tc>
          <w:tcPr>
            <w:cnfStyle w:val="000010000000"/>
            <w:tcW w:w="2609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</w:tcPr>
          <w:p w:rsidR="00D136FB" w:rsidRDefault="007F375B">
            <w:pPr>
              <w:widowControl w:val="0"/>
            </w:pPr>
            <w:r>
              <w:t xml:space="preserve">EVMS, option years, basic tenets of bookkeeping, utilization of budget, </w:t>
            </w:r>
            <w:r>
              <w:rPr>
                <w:color w:val="000000"/>
              </w:rPr>
              <w:t>modifications</w:t>
            </w:r>
          </w:p>
        </w:tc>
        <w:tc>
          <w:tcPr>
            <w:cnfStyle w:val="000001000000"/>
            <w:tcW w:w="2606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</w:tcPr>
          <w:p w:rsidR="00D136FB" w:rsidRDefault="007F375B">
            <w:pPr>
              <w:widowControl w:val="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Allowing time for final reports, law of stop-work orders, and personnel reassignments.</w:t>
            </w:r>
          </w:p>
        </w:tc>
      </w:tr>
      <w:tr w:rsidR="00D136FB" w:rsidTr="007F375B">
        <w:trPr>
          <w:cantSplit/>
          <w:trHeight w:val="432"/>
        </w:trPr>
        <w:tc>
          <w:tcPr>
            <w:cnfStyle w:val="000010000000"/>
            <w:tcW w:w="929" w:type="dxa"/>
            <w:tcBorders>
              <w:top w:val="nil"/>
              <w:left w:val="single" w:sz="4" w:space="0" w:color="7F7F7F"/>
              <w:right w:val="single" w:sz="4" w:space="0" w:color="7F7F7F"/>
            </w:tcBorders>
            <w:vAlign w:val="center"/>
          </w:tcPr>
          <w:p w:rsidR="00D136FB" w:rsidRDefault="007F375B">
            <w:pPr>
              <w:widowControl w:val="0"/>
              <w:spacing w:before="0" w:after="0"/>
              <w:jc w:val="center"/>
              <w:rPr>
                <w:sz w:val="36"/>
                <w:vertAlign w:val="superscript"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cnfStyle w:val="000001000000"/>
            <w:tcW w:w="2610" w:type="dxa"/>
            <w:tcBorders>
              <w:top w:val="nil"/>
              <w:left w:val="single" w:sz="4" w:space="0" w:color="7F7F7F"/>
              <w:right w:val="single" w:sz="4" w:space="0" w:color="7F7F7F"/>
            </w:tcBorders>
          </w:tcPr>
          <w:p w:rsidR="00D136FB" w:rsidRDefault="007F375B">
            <w:pPr>
              <w:widowControl w:val="0"/>
            </w:pPr>
            <w:r>
              <w:t xml:space="preserve">Presentation of a proposal or a major </w:t>
            </w:r>
            <w:r>
              <w:t>administrative evolution such as a plan for a site visits, a multi-university collaboration, or similar.</w:t>
            </w:r>
          </w:p>
        </w:tc>
        <w:tc>
          <w:tcPr>
            <w:cnfStyle w:val="000010000000"/>
            <w:tcW w:w="2609" w:type="dxa"/>
            <w:tcBorders>
              <w:top w:val="nil"/>
              <w:left w:val="single" w:sz="4" w:space="0" w:color="7F7F7F"/>
              <w:right w:val="single" w:sz="4" w:space="0" w:color="7F7F7F"/>
            </w:tcBorders>
          </w:tcPr>
          <w:p w:rsidR="00D136FB" w:rsidRDefault="007F375B">
            <w:pPr>
              <w:widowControl w:val="0"/>
            </w:pPr>
            <w:r>
              <w:t>Project presentations</w:t>
            </w:r>
          </w:p>
        </w:tc>
        <w:tc>
          <w:tcPr>
            <w:cnfStyle w:val="000001000000"/>
            <w:tcW w:w="2606" w:type="dxa"/>
            <w:tcBorders>
              <w:top w:val="nil"/>
              <w:left w:val="single" w:sz="4" w:space="0" w:color="7F7F7F"/>
              <w:right w:val="single" w:sz="4" w:space="0" w:color="7F7F7F"/>
            </w:tcBorders>
            <w:vAlign w:val="center"/>
          </w:tcPr>
          <w:p w:rsidR="00D136FB" w:rsidRDefault="007F375B">
            <w:pPr>
              <w:widowControl w:val="0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Final Exam</w:t>
            </w:r>
          </w:p>
        </w:tc>
      </w:tr>
    </w:tbl>
    <w:p w:rsidR="00D136FB" w:rsidRDefault="00D136FB">
      <w:pPr>
        <w:pStyle w:val="Heading2"/>
      </w:pPr>
    </w:p>
    <w:sectPr w:rsidR="00D136FB" w:rsidSect="00D136FB">
      <w:pgSz w:w="12240" w:h="15840"/>
      <w:pgMar w:top="1440" w:right="1440" w:bottom="1440" w:left="1440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34F8C"/>
    <w:multiLevelType w:val="multilevel"/>
    <w:tmpl w:val="3F5AE9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5154CA3"/>
    <w:multiLevelType w:val="multilevel"/>
    <w:tmpl w:val="8F52D6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CBC0EB1"/>
    <w:multiLevelType w:val="multilevel"/>
    <w:tmpl w:val="C3D07BF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autoHyphenation/>
  <w:characterSpacingControl w:val="doNotCompress"/>
  <w:compat/>
  <w:rsids>
    <w:rsidRoot w:val="00D136FB"/>
    <w:rsid w:val="00484D47"/>
    <w:rsid w:val="007F375B"/>
    <w:rsid w:val="00D13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BC1"/>
    <w:pPr>
      <w:spacing w:before="120" w:after="120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uiPriority w:val="9"/>
    <w:qFormat/>
    <w:rsid w:val="008E7E6D"/>
    <w:pPr>
      <w:spacing w:before="24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uiPriority w:val="9"/>
    <w:unhideWhenUsed/>
    <w:qFormat/>
    <w:rsid w:val="00C34307"/>
    <w:pPr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unhideWhenUsed/>
    <w:qFormat/>
    <w:rsid w:val="00027BC1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3B6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3B6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3B6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14D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sid w:val="00F714DB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rsid w:val="00FD17CC"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FD17CC"/>
    <w:pPr>
      <w:spacing w:before="0" w:after="140" w:line="276" w:lineRule="auto"/>
    </w:pPr>
  </w:style>
  <w:style w:type="paragraph" w:styleId="List">
    <w:name w:val="List"/>
    <w:basedOn w:val="BodyText"/>
    <w:rsid w:val="00FD17CC"/>
    <w:rPr>
      <w:rFonts w:cs="Lucida Sans"/>
    </w:rPr>
  </w:style>
  <w:style w:type="paragraph" w:styleId="Caption">
    <w:name w:val="caption"/>
    <w:basedOn w:val="Normal"/>
    <w:qFormat/>
    <w:rsid w:val="00FD17CC"/>
    <w:pPr>
      <w:suppressLineNumbers/>
    </w:pPr>
    <w:rPr>
      <w:rFonts w:cs="Lucida Sans"/>
      <w:i/>
      <w:iCs/>
    </w:rPr>
  </w:style>
  <w:style w:type="paragraph" w:customStyle="1" w:styleId="Index">
    <w:name w:val="Index"/>
    <w:basedOn w:val="Normal"/>
    <w:qFormat/>
    <w:rsid w:val="00FD17CC"/>
    <w:pPr>
      <w:suppressLineNumbers/>
    </w:pPr>
    <w:rPr>
      <w:rFonts w:cs="Lucida Sans"/>
    </w:rPr>
  </w:style>
  <w:style w:type="paragraph" w:styleId="Title">
    <w:name w:val="Title"/>
    <w:basedOn w:val="Normal"/>
    <w:next w:val="Normal"/>
    <w:uiPriority w:val="10"/>
    <w:qFormat/>
    <w:rsid w:val="00453B60"/>
    <w:pPr>
      <w:jc w:val="center"/>
    </w:pPr>
    <w:rPr>
      <w:b/>
      <w:color w:val="231F20"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rsid w:val="004C4C90"/>
    <w:pPr>
      <w:keepNext/>
      <w:keepLines/>
      <w:spacing w:after="80"/>
      <w:jc w:val="center"/>
    </w:pPr>
    <w:rPr>
      <w:rFonts w:eastAsia="Georgia"/>
      <w:b/>
      <w:bCs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0B3B88"/>
    <w:pPr>
      <w:ind w:left="720"/>
      <w:contextualSpacing/>
    </w:pPr>
  </w:style>
  <w:style w:type="paragraph" w:customStyle="1" w:styleId="FrameContents">
    <w:name w:val="Frame Contents"/>
    <w:basedOn w:val="Normal"/>
    <w:qFormat/>
    <w:rsid w:val="00D136FB"/>
  </w:style>
  <w:style w:type="table" w:customStyle="1" w:styleId="GridTableLight">
    <w:name w:val="Grid Table Light"/>
    <w:basedOn w:val="TableNormal"/>
    <w:uiPriority w:val="40"/>
    <w:rsid w:val="000B3B88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139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2139A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3">
    <w:name w:val="Plain Table 3"/>
    <w:basedOn w:val="TableNormal"/>
    <w:uiPriority w:val="43"/>
    <w:rsid w:val="002139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000000" w:themeColor="text1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2">
    <w:name w:val="Plain Table 2"/>
    <w:basedOn w:val="TableNormal"/>
    <w:uiPriority w:val="42"/>
    <w:rsid w:val="002139A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BD5F3077F9274983C82ED3E60ED7AA" ma:contentTypeVersion="13" ma:contentTypeDescription="Create a new document." ma:contentTypeScope="" ma:versionID="37d3f35199c2a4035f4859a8e5e3598a">
  <xsd:schema xmlns:xsd="http://www.w3.org/2001/XMLSchema" xmlns:xs="http://www.w3.org/2001/XMLSchema" xmlns:p="http://schemas.microsoft.com/office/2006/metadata/properties" xmlns:ns2="f367f2af-fece-48dc-82f0-dbae066a7933" xmlns:ns3="170b6698-3c8d-4061-900f-687f8be9ddca" targetNamespace="http://schemas.microsoft.com/office/2006/metadata/properties" ma:root="true" ma:fieldsID="4d3e3bbb093a6897e530720286604778" ns2:_="" ns3:_="">
    <xsd:import namespace="f367f2af-fece-48dc-82f0-dbae066a7933"/>
    <xsd:import namespace="170b6698-3c8d-4061-900f-687f8be9dd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7f2af-fece-48dc-82f0-dbae066a7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b6698-3c8d-4061-900f-687f8be9dd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334917-4EBD-4510-B444-22FEC2B238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1A0ACA-41C2-4A55-A2F0-7C87988E1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67f2af-fece-48dc-82f0-dbae066a7933"/>
    <ds:schemaRef ds:uri="170b6698-3c8d-4061-900f-687f8be9d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99152D-8F88-45EC-A780-F702B93A26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CBDC78-456E-4F4A-B632-CC77005C7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797</Words>
  <Characters>4548</Characters>
  <Application>Microsoft Office Word</Application>
  <DocSecurity>0</DocSecurity>
  <Lines>37</Lines>
  <Paragraphs>10</Paragraphs>
  <ScaleCrop>false</ScaleCrop>
  <Company>USC/ISI</Company>
  <LinksUpToDate>false</LinksUpToDate>
  <CharactersWithSpaces>5335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Golda</dc:creator>
  <dc:description/>
  <cp:lastModifiedBy>ddavis</cp:lastModifiedBy>
  <cp:revision>12</cp:revision>
  <dcterms:created xsi:type="dcterms:W3CDTF">2021-09-10T13:40:00Z</dcterms:created>
  <dcterms:modified xsi:type="dcterms:W3CDTF">2024-03-03T14:50:00Z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0x01010047BD5F3077F9274983C82ED3E60ED7AA</vt:lpwstr>
  </property>
</Properties>
</file>