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08" w:type="dxa"/>
        <w:tblLook w:val="04A0"/>
      </w:tblPr>
      <w:tblGrid>
        <w:gridCol w:w="2430"/>
        <w:gridCol w:w="2160"/>
        <w:gridCol w:w="2700"/>
        <w:gridCol w:w="2070"/>
      </w:tblGrid>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24319D">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proofErr w:type="spellStart"/>
            <w:r w:rsidRPr="002C07E1">
              <w:rPr>
                <w:b/>
                <w:bCs/>
                <w:iCs/>
                <w:color w:val="000000"/>
              </w:rPr>
              <w:t>karen.ristuccia</w:t>
            </w:r>
            <w:proofErr w:type="spellEnd"/>
            <w:r w:rsidRPr="002C07E1">
              <w:rPr>
                <w:b/>
                <w:bCs/>
                <w:iCs/>
                <w:color w:val="000000"/>
              </w:rPr>
              <w:t>@</w:t>
            </w:r>
            <w:r w:rsidR="00883953" w:rsidRPr="0024319D">
              <w:rPr>
                <w:b/>
                <w:bCs/>
                <w:iCs/>
                <w:color w:val="000000"/>
              </w:rPr>
              <w:br/>
            </w:r>
            <w:r w:rsidR="00E83309" w:rsidRPr="0024319D">
              <w:rPr>
                <w:b/>
                <w:bCs/>
                <w:iCs/>
                <w:color w:val="000000"/>
              </w:rPr>
              <w:t>wilberforceschool.org</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C95958" w:rsidP="00C95958">
      <w:pPr>
        <w:jc w:val="both"/>
      </w:pPr>
      <w:r w:rsidRPr="00C95958">
        <w:rPr>
          <w:iCs/>
        </w:rPr>
        <w:t>This paper reviews the needs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  The paper opens with a view of the need for both metacognition and critical thinking skills in today’s defense environment and a report on the number of leaders, analysts, and staff who decry the current state of those abilities.  The capability and need to begin this educational process early with the Warfighters is advanced.  Then, a review of the recognized pedagogical approaches to improving these proficiencies is countered by an explication of the many personal, organizational, and social hurdles to implementing these approaches.  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  Some of the obstacles addressed are classroom scheduling, operational schedule overloads, geographic isolations, and personal characteristics of both educator and student.  Recent research outcomes are offered as examples of current capabilities and future research efforts are outlined, outlining design conc</w:t>
      </w:r>
      <w:r w:rsidR="009A67C9">
        <w:rPr>
          <w:iCs/>
        </w:rPr>
        <w:t>e</w:t>
      </w:r>
      <w:r w:rsidRPr="00C95958">
        <w:rPr>
          <w:iCs/>
        </w:rPr>
        <w:t>pts and previewing capabilities new tools that will soon be available to the professionals in this discipline.  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w:t>
      </w:r>
      <w:proofErr w:type="gramStart"/>
      <w:r>
        <w:rPr>
          <w:bCs/>
        </w:rPr>
        <w:t>DoD</w:t>
      </w:r>
      <w:proofErr w:type="gramEnd"/>
      <w:r>
        <w:rPr>
          <w:bCs/>
        </w:rPr>
        <w:t xml:space="preserve">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9A714E">
      <w:pPr>
        <w:spacing w:before="120"/>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proofErr w:type="spellStart"/>
      <w:proofErr w:type="gramStart"/>
      <w:r w:rsidR="00C94E2F">
        <w:rPr>
          <w:b/>
          <w:bCs/>
        </w:rPr>
        <w:t>D.</w:t>
      </w:r>
      <w:r w:rsidR="003B3441" w:rsidRPr="003B3441">
        <w:rPr>
          <w:b/>
          <w:bCs/>
        </w:rPr>
        <w:t>Min</w:t>
      </w:r>
      <w:proofErr w:type="spellEnd"/>
      <w:r w:rsidR="003B3441">
        <w:rPr>
          <w:bCs/>
        </w:rPr>
        <w:t>.,</w:t>
      </w:r>
      <w:proofErr w:type="gramEnd"/>
      <w:r w:rsidR="003B3441">
        <w:rPr>
          <w:bCs/>
        </w:rPr>
        <w:t xml:space="preserve"> </w:t>
      </w:r>
      <w:r>
        <w:rPr>
          <w:bCs/>
        </w:rPr>
        <w:t>is the Dean of Instruction at The Wilberforce School, a classical education private academy in Princeton New Jersey.  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 xml:space="preserve">.  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proofErr w:type="gramStart"/>
      <w:r w:rsidR="003B3441">
        <w:rPr>
          <w:bCs/>
        </w:rPr>
        <w:t>an</w:t>
      </w:r>
      <w:proofErr w:type="gramEnd"/>
      <w:r w:rsidRPr="00CB5289">
        <w:rPr>
          <w:bCs/>
        </w:rPr>
        <w:t xml:space="preserve"> M.Div. </w:t>
      </w:r>
      <w:r>
        <w:rPr>
          <w:bCs/>
        </w:rPr>
        <w:t>and a</w:t>
      </w:r>
      <w:r w:rsidRPr="00CB5289">
        <w:rPr>
          <w:bCs/>
        </w:rPr>
        <w:t xml:space="preserve"> </w:t>
      </w:r>
      <w:proofErr w:type="spellStart"/>
      <w:r w:rsidRPr="00CB5289">
        <w:rPr>
          <w:bCs/>
        </w:rPr>
        <w:t>D.Min</w:t>
      </w:r>
      <w:proofErr w:type="spellEnd"/>
      <w:r w:rsidRPr="00CB5289">
        <w:rPr>
          <w:bCs/>
        </w:rPr>
        <w:t xml:space="preserve">. </w:t>
      </w:r>
      <w:proofErr w:type="gramStart"/>
      <w:r>
        <w:rPr>
          <w:bCs/>
        </w:rPr>
        <w:t>from</w:t>
      </w:r>
      <w:proofErr w:type="gramEnd"/>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08" w:type="dxa"/>
        <w:tblLook w:val="04A0"/>
      </w:tblPr>
      <w:tblGrid>
        <w:gridCol w:w="2430"/>
        <w:gridCol w:w="2160"/>
        <w:gridCol w:w="2700"/>
        <w:gridCol w:w="2070"/>
      </w:tblGrid>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04545F">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proofErr w:type="spellStart"/>
            <w:r w:rsidRPr="002C07E1">
              <w:rPr>
                <w:b/>
                <w:bCs/>
                <w:iCs/>
                <w:color w:val="000000"/>
              </w:rPr>
              <w:t>karen.ristuccia</w:t>
            </w:r>
            <w:proofErr w:type="spellEnd"/>
            <w:r w:rsidRPr="002C07E1">
              <w:rPr>
                <w:b/>
                <w:bCs/>
                <w:iCs/>
                <w:color w:val="000000"/>
              </w:rPr>
              <w:t>@</w:t>
            </w:r>
            <w:r w:rsidRPr="0024319D">
              <w:rPr>
                <w:b/>
                <w:bCs/>
                <w:iCs/>
                <w:color w:val="000000"/>
              </w:rPr>
              <w:br/>
              <w:t>wilberforceschool.org</w:t>
            </w:r>
          </w:p>
        </w:tc>
      </w:tr>
    </w:tbl>
    <w:p w:rsidR="00585C09" w:rsidRDefault="00585C09" w:rsidP="00CA385C">
      <w:pPr>
        <w:pStyle w:val="Heading1"/>
      </w:pPr>
    </w:p>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exercise of defense organizational goal attainment.  The authors </w:t>
      </w:r>
      <w:r w:rsidR="00210274">
        <w:t xml:space="preserve">further assert that there are constraints to inculcating such skills in </w:t>
      </w:r>
      <w:proofErr w:type="gramStart"/>
      <w:r w:rsidR="00210274">
        <w:t>DoD</w:t>
      </w:r>
      <w:proofErr w:type="gramEnd"/>
      <w:r w:rsidR="00210274">
        <w:t xml:space="preserve"> personnel and these constraints are not easily ameliorated.  They report on the recent advances in virtual human technologies as potential responses to these hurdles.  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xml:space="preserve">. An effort to define the term critical thinking is presented, along with the results of an informal ethnographic survey of </w:t>
      </w:r>
      <w:proofErr w:type="gramStart"/>
      <w:r w:rsidR="00D55CFF">
        <w:t>DoD</w:t>
      </w:r>
      <w:proofErr w:type="gramEnd"/>
      <w:r w:rsidR="00D55CFF">
        <w:t xml:space="preserve"> personnel. There is a short review of common pedagogies to assist those not entirely familiar with them, along with a discussion of metrics.  Current research in the field is covered, focusing on the work at USC.  Then there is a section on applying these capabilities to the issue at hand.  That process is discussed and conclusions are advanced, along with issues to be addressed in the future.</w:t>
      </w:r>
      <w:r w:rsidR="006C41AE">
        <w:t xml:space="preserve">  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Prior to discussing the technical advances that lie at the heart of this paper’s major thesis, it is necessary to consider the context in which such advances are made practical and their ut</w:t>
      </w:r>
      <w:r w:rsidR="006A4CC1">
        <w:t xml:space="preserve">ility made manifest. So, it is impractical to cover here or even to be survey effectively a </w:t>
      </w:r>
      <w:r>
        <w:t>large body of experience, insight and</w:t>
      </w:r>
      <w:r w:rsidR="006A4CC1" w:rsidRPr="006A4CC1">
        <w:t xml:space="preserve"> </w:t>
      </w:r>
      <w:r w:rsidR="006A4CC1">
        <w:t>lore</w:t>
      </w:r>
      <w:r w:rsidR="00702873">
        <w:t>.  A few germane anecdotes will be adduced to set the stage.</w:t>
      </w:r>
    </w:p>
    <w:p w:rsidR="00702873" w:rsidRDefault="00702873" w:rsidP="00210274">
      <w:pPr>
        <w:jc w:val="both"/>
      </w:pPr>
    </w:p>
    <w:p w:rsidR="00A770E4" w:rsidRDefault="00702873" w:rsidP="00210274">
      <w:pPr>
        <w:jc w:val="both"/>
      </w:pPr>
      <w:r>
        <w:t xml:space="preserve">Populations have been at war with each other for at least as long as they have had a system of recording conflicts.  Combat has long been an unforgiving environment for those who are not thinking rationally.  Early on the Greeks developed the concept of massing a dense body of fighters into an almost irresistible weapon to shatter the enemy lines.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  A scant fifty years after that, the US would pay in blood for not recognizing the rifle had gotten more accurate and longer ranged.  The American marksmen grew up with firearms in their hands.  Toward the end of that war, a critical thinker developed and advocated a more dispersed and agile style of attack in response to these </w:t>
      </w:r>
      <w:r w:rsidR="00A770E4">
        <w:t>technologies</w:t>
      </w:r>
      <w:r w:rsidR="00B25938">
        <w:t xml:space="preserve">.  But all was </w:t>
      </w:r>
      <w:r w:rsidR="006C41AE">
        <w:t>forgotten</w:t>
      </w:r>
      <w:r w:rsidR="00B25938">
        <w:t xml:space="preserve"> during the American Indian Wars and the British Colonial Wars, and that oversight led to the incredible losses in WW I.  </w:t>
      </w:r>
      <w:r w:rsidR="00EF6073">
        <w:t xml:space="preserve">German Maxims did not honor the bravery of me </w:t>
      </w:r>
      <w:r w:rsidR="005A4377">
        <w:t xml:space="preserve">walking in orderly fashion toward their trenches.  </w:t>
      </w:r>
      <w:r w:rsidR="00B25938">
        <w:t xml:space="preserve">In fact, an extension of those inclinations to form an “iron fist” of men may have found its expression in the case of Torpedo Eight in WW II’s battle of Midway, in which every plane of that unit was shot down without a landing a single blow against the Japanese Imperial Navy. </w:t>
      </w:r>
      <w:r w:rsidR="00A770E4">
        <w:t xml:space="preserve">A dearth of critical thinking missed the fact that the concentrated planes of Torpedo Eight did not provide the Americans with </w:t>
      </w:r>
      <w:proofErr w:type="gramStart"/>
      <w:r w:rsidR="00A770E4">
        <w:t>a</w:t>
      </w:r>
      <w:proofErr w:type="gramEnd"/>
      <w:r w:rsidR="00A770E4">
        <w:t xml:space="preserve"> n iron fist; it provided the Japanese with a </w:t>
      </w:r>
      <w:r w:rsidR="00EF6073">
        <w:t>s</w:t>
      </w:r>
      <w:r w:rsidR="00A770E4">
        <w:t>ingle target upon which the entire fleet could concentrate their weapons.  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6A4CC1" w:rsidP="006A4CC1">
      <w:pPr>
        <w:jc w:val="both"/>
      </w:pPr>
      <w:r>
        <w:t xml:space="preserve">  Twenty percent of the names on the Wall in the Vietnam Memorial in DC did not die at the hands of the NVA and only the Good Lord knows how many of the other 80% were lost due to lack of critical thinking.</w:t>
      </w:r>
      <w:r w:rsidR="00F80285">
        <w:t xml:space="preserve">  </w:t>
      </w:r>
      <w:r>
        <w:t xml:space="preserve">Many brilliant men have been known, but many of them don’t seem to apply that brilliance for one reason or another.  Many have witnessed in person and studied remotely how such failures lead to immediate and catastrophic results in a military environment. If the nation would be able to use the emerging powers of virtual reality and virtual humans to </w:t>
      </w:r>
      <w:r>
        <w:lastRenderedPageBreak/>
        <w:t>improve both selection and training to reduce errors, we would have done good work for the defense personnel who are in harm’s way today.</w:t>
      </w:r>
      <w:r w:rsidR="00AE2091">
        <w:t xml:space="preserve">  The descent of command prerogatives further and further down the ranks until even junior Non Commissioned Officers (NCOs) have the distance from chain of command oversight and counsel, and must exercise independent judgment in the conduct of combat operations. </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600 A.D. Courage can be tested to some degree by challenging candidates with daunting tasks in Officer Candidate programs.  However, testing for the subtle and multi-faceted </w:t>
      </w:r>
      <w:r w:rsidR="006C41AE">
        <w:t>characteristic which is labeled Critical Thinking is much more problematic and much in need of an independent study to characterize the concept and quantify its magnitude and potential.  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proofErr w:type="gramStart"/>
      <w:r w:rsidR="00E04504">
        <w:t>(</w:t>
      </w:r>
      <w:proofErr w:type="spellStart"/>
      <w:r>
        <w:t>Visser</w:t>
      </w:r>
      <w:proofErr w:type="spellEnd"/>
      <w:r>
        <w:t>, 2019).</w:t>
      </w:r>
      <w:proofErr w:type="gramEnd"/>
      <w:r w:rsidR="007B2345">
        <w:t xml:space="preserve"> </w:t>
      </w:r>
      <w:r w:rsidR="005A5159">
        <w:t>Critical Thinking was not emphasized during the imperial age of the Roman Empire nor the dart period that followed in Europe, but its tradition remained alive in the Asian continent.  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F80285">
        <w:t xml:space="preserve">  But the age of industry was upon us, and the need for Critical Thinking was increasing.  This need was accelerating even faster within the defense organizations of every nation, as weapons went from tools that can be forged at home to sophisticated machines that require significant technical expertise to even operate. The turn of the 20</w:t>
      </w:r>
      <w:r w:rsidR="00F80285" w:rsidRPr="00F80285">
        <w:rPr>
          <w:vertAlign w:val="superscript"/>
        </w:rPr>
        <w:t>th</w:t>
      </w:r>
      <w:r w:rsidR="00F80285">
        <w:t xml:space="preserve"> and 21</w:t>
      </w:r>
      <w:r w:rsidR="00F80285" w:rsidRPr="00F80285">
        <w:rPr>
          <w:vertAlign w:val="superscript"/>
        </w:rPr>
        <w:t>st</w:t>
      </w:r>
      <w:r w:rsidR="00F80285">
        <w:t xml:space="preserve"> Centuries brought about a deluge of scholarly articles about this topic</w:t>
      </w:r>
    </w:p>
    <w:p w:rsidR="007A7795" w:rsidRPr="00955532" w:rsidRDefault="007A7795" w:rsidP="007A7795">
      <w:pPr>
        <w:pStyle w:val="Heading1"/>
      </w:pPr>
      <w:r w:rsidRPr="00955532">
        <w:t>…</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w:t>
      </w:r>
      <w:proofErr w:type="gramStart"/>
      <w:r>
        <w:t>has</w:t>
      </w:r>
      <w:proofErr w:type="gramEnd"/>
      <w:r>
        <w:t xml:space="preserve"> arisen is the one of how Critical Thinking is developed and sustained.  One </w:t>
      </w:r>
      <w:r w:rsidR="00B9345F">
        <w:t>method</w:t>
      </w:r>
      <w:r>
        <w:t xml:space="preserve"> according to</w:t>
      </w:r>
      <w:r w:rsidR="00D71D60">
        <w:t xml:space="preserve"> Philip Tetlock of Princeton is for the analyst to consider their own method of analysis (Tetlock &amp; Gardner, 2016).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   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   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 xml:space="preserve">Surely, since there was conflict, there have been those who have made it a practice to analyze the leaders and the choices they have made.  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w:t>
      </w:r>
      <w:proofErr w:type="spellStart"/>
      <w:r w:rsidR="00E04504">
        <w:t>Fluellen</w:t>
      </w:r>
      <w:proofErr w:type="spellEnd"/>
      <w:r w:rsidR="00E04504">
        <w:t xml:space="preserve">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  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  (</w:t>
      </w:r>
      <w:proofErr w:type="spellStart"/>
      <w:r w:rsidR="00B03C93">
        <w:t>Danchev</w:t>
      </w:r>
      <w:proofErr w:type="spellEnd"/>
      <w:r w:rsidR="00B03C93">
        <w:t>,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  The locus of control has flowed from the front line of Alexander’s hoplites to the</w:t>
      </w:r>
      <w:r w:rsidR="008E1D62">
        <w:t xml:space="preserve"> Army</w:t>
      </w:r>
      <w:r>
        <w:t xml:space="preserve"> headquarters of World War II.  Some </w:t>
      </w:r>
      <w:r w:rsidR="008E1D62">
        <w:t xml:space="preserve">have even argued that </w:t>
      </w:r>
      <w:r>
        <w:t xml:space="preserve">it has flowed to the halls of Washington during the Vietnam War.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 xml:space="preserve">.  It is rapidly flowing down the lowest </w:t>
      </w:r>
      <w:r w:rsidR="00FF6FA3">
        <w:t>squad and fire-team</w:t>
      </w:r>
      <w:r w:rsidR="00E04504">
        <w:t xml:space="preserve"> levels in the Gulf Wars.  Low ranking officers and senior NCOs are making decisions that would have been </w:t>
      </w:r>
      <w:r w:rsidR="00FF6FA3">
        <w:t>unimaginable</w:t>
      </w:r>
      <w:r w:rsidR="00E04504">
        <w:t xml:space="preserve"> </w:t>
      </w:r>
      <w:r w:rsidR="00FF6FA3">
        <w:t>at the battle of Waterloo</w:t>
      </w:r>
      <w:r w:rsidR="00E04504">
        <w:t xml:space="preserve">.  This means being a junior officer </w:t>
      </w:r>
      <w:r w:rsidR="00E04504">
        <w:lastRenderedPageBreak/>
        <w:t>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 xml:space="preserve">wonder what applicability it has in the defense of the nation.  There have been some studies, albeit more anecdotal than statistically pure, that have shown a high correlation between metacognitive activity and performance in fields focusing on intellectual operations (Romainville, 1994).  But, not all uses of metacognition are universally seen as beneficial.  The thrust of many of these arguments seem to be that sometimes focusing on understanding the process by which one learns is more a distraction than an aid, </w:t>
      </w:r>
      <w:proofErr w:type="spellStart"/>
      <w:r w:rsidR="00466670" w:rsidRPr="004A61A8">
        <w:rPr>
          <w:i/>
        </w:rPr>
        <w:t>e.g</w:t>
      </w:r>
      <w:proofErr w:type="spellEnd"/>
      <w:r w:rsidR="00466670">
        <w:t xml:space="preserve"> one cannot learn to ride a bicycle by thinking about it.  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   There has been significant discussion about times when metacognition is not productive (Mathematics Educator, 2020).  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 xml:space="preserve">Critical thinking is a term for which many of the authors’ comrades in arms have significant experience, but little need or opportunity to consider the precise definition of the term.  To say the term is evolving would be a conservative position.  A search of the literature has not found either a recent advent of the concept or an identifiable champion or originator of the term to whom one could turn to define the concept.  As noted above, the term is seemingly an articulation of concept that has been discussed for millennia. A straight forward approach may be to rely on reference sources.  The </w:t>
      </w:r>
      <w:proofErr w:type="spellStart"/>
      <w:r>
        <w:t>Wiktionary</w:t>
      </w:r>
      <w:proofErr w:type="spellEnd"/>
      <w:r>
        <w:t xml:space="preserve"> says that Critical Thinking is: “</w:t>
      </w:r>
      <w:r w:rsidRPr="00AE48A4">
        <w:t>The application of logical principles, rigorous standards of evidence, and careful reasoning to the analysis and discussion of claims, beliefs, and issues.</w:t>
      </w:r>
      <w:r>
        <w:t>”</w:t>
      </w:r>
      <w:r w:rsidR="004E7758">
        <w:t xml:space="preserve"> </w:t>
      </w:r>
      <w:proofErr w:type="gramStart"/>
      <w:r w:rsidR="004E7758">
        <w:t>(</w:t>
      </w:r>
      <w:proofErr w:type="spellStart"/>
      <w:r w:rsidR="004E7758">
        <w:t>Wiktionary</w:t>
      </w:r>
      <w:proofErr w:type="spellEnd"/>
      <w:r w:rsidR="004E7758">
        <w:t>, 2020).</w:t>
      </w:r>
      <w:proofErr w:type="gramEnd"/>
    </w:p>
    <w:p w:rsidR="004E7758" w:rsidRDefault="004E7758" w:rsidP="005D24D9">
      <w:pPr>
        <w:jc w:val="both"/>
      </w:pPr>
    </w:p>
    <w:p w:rsidR="004E7758" w:rsidRDefault="004E7758" w:rsidP="005D24D9">
      <w:pPr>
        <w:jc w:val="both"/>
      </w:pPr>
      <w:r>
        <w:t xml:space="preserve">While this is helpful, the authors’ position is that it is not sufficiently meaningful for this papers use or the serious consideration by the warfighter as a tool of value.  The sense is that Critical Thinking is one of those concepts that </w:t>
      </w:r>
      <w:proofErr w:type="gramStart"/>
      <w:r>
        <w:t>is</w:t>
      </w:r>
      <w:proofErr w:type="gramEnd"/>
      <w:r>
        <w:t xml:space="preserve"> better understood in the abstract than in a few phrases of English.  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w:t>
      </w:r>
      <w:proofErr w:type="gramStart"/>
      <w:r w:rsidR="004F20EF">
        <w:t>it, …”</w:t>
      </w:r>
      <w:proofErr w:type="gramEnd"/>
      <w:r w:rsidR="004F20EF">
        <w:t xml:space="preserve"> (Stewart, </w:t>
      </w:r>
      <w:r w:rsidR="0017209F">
        <w:t>1964</w:t>
      </w:r>
      <w:r w:rsidR="004F20EF">
        <w:t>)</w:t>
      </w:r>
      <w:r w:rsidR="0017209F">
        <w:t xml:space="preserve">.  In an attempt to find a more contextually satisfying definition the authors sought the counsel of their academic brethren, many of whom were life-long students of military history and few of whom were military veterans.  </w:t>
      </w:r>
    </w:p>
    <w:p w:rsidR="0017209F" w:rsidRDefault="0017209F" w:rsidP="005D24D9">
      <w:pPr>
        <w:jc w:val="both"/>
      </w:pPr>
    </w:p>
    <w:p w:rsidR="00B211F8" w:rsidRDefault="0017209F" w:rsidP="005D24D9">
      <w:pPr>
        <w:jc w:val="both"/>
      </w:pPr>
      <w:r>
        <w:t>While illuminating, this canvas of local wisdom was not sufficiently deep for the purposes of this paper.  It was decided to survey a more wide-spread and diverse group of military personnel.  As no funding was available for a carefully circumscribed and statistically sophisticated study, value was still to be realized from conducting an ethnographic study of a small number of veterans.  An instrument was designed to seek input on the definition of the term “Critical Thinking,</w:t>
      </w:r>
      <w:proofErr w:type="gramStart"/>
      <w:r>
        <w:t>”  observable</w:t>
      </w:r>
      <w:proofErr w:type="gramEnd"/>
      <w:r>
        <w:t xml:space="preserve"> indicia of it, and the relative value in military service. </w:t>
      </w:r>
      <w:r w:rsidR="00FC6724">
        <w:t>A group of 38 military veterans for whom eMail addresses were in the possession of one of the authors (D. Davis) were invited to participate in the survey</w:t>
      </w:r>
      <w:r w:rsidR="00B211F8">
        <w:t>.  The invitees included pay grades from E-5 through O-8.  The participants were further asked</w:t>
      </w:r>
      <w:r w:rsidR="00FC6724">
        <w:t xml:space="preserve"> to forward such an invitation to veterans and civilians within their own ken who would be likely to have opinions on the topic </w:t>
      </w:r>
      <w:proofErr w:type="gramStart"/>
      <w:r w:rsidR="00FC6724">
        <w:t>This</w:t>
      </w:r>
      <w:proofErr w:type="gramEnd"/>
      <w:r w:rsidR="00FC6724">
        <w:t xml:space="preserve"> technique is often </w:t>
      </w:r>
      <w:r w:rsidR="00B211F8">
        <w:t>referred</w:t>
      </w:r>
      <w:r w:rsidR="00FC6724">
        <w:t xml:space="preserve"> to as “snowball sampling” and it has both limitations and legitimate uses (</w:t>
      </w:r>
      <w:proofErr w:type="spellStart"/>
      <w:r w:rsidR="00FC6724">
        <w:t>Noy</w:t>
      </w:r>
      <w:proofErr w:type="spellEnd"/>
      <w:r w:rsidR="00FC6724">
        <w:t>, 2008).</w:t>
      </w:r>
      <w:r w:rsidR="00B211F8">
        <w:t xml:space="preserve"> </w:t>
      </w:r>
    </w:p>
    <w:p w:rsidR="00B211F8" w:rsidRDefault="00B211F8" w:rsidP="005D24D9">
      <w:pPr>
        <w:jc w:val="both"/>
      </w:pPr>
    </w:p>
    <w:p w:rsidR="0017209F" w:rsidRDefault="00B211F8" w:rsidP="005D24D9">
      <w:pPr>
        <w:jc w:val="both"/>
      </w:pPr>
      <w:r>
        <w:t xml:space="preserve">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  The language in these eMails was judged to run from analytic to emotional.  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w:t>
      </w:r>
      <w:proofErr w:type="gramStart"/>
      <w:r>
        <w:t>an</w:t>
      </w:r>
      <w:proofErr w:type="gramEnd"/>
      <w:r>
        <w:t xml:space="preserve">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  That was followed by an opportunity to opine and add to the issues under consideration. This was create using HTML forms </w:t>
      </w:r>
      <w:r>
        <w:lastRenderedPageBreak/>
        <w:t xml:space="preserve">for the survey page and PHP programs for the data processing and storage functions and PHP for the analytic functions.  The first section of the survey instrument appears in </w:t>
      </w:r>
      <w:proofErr w:type="gramStart"/>
      <w:r>
        <w:t>Figure .</w:t>
      </w:r>
      <w:proofErr w:type="gramEnd"/>
    </w:p>
    <w:p w:rsidR="00ED56A9" w:rsidRDefault="00ED56A9" w:rsidP="00ED56A9">
      <w:pPr>
        <w:jc w:val="both"/>
      </w:pPr>
    </w:p>
    <w:p w:rsidR="00ED56A9" w:rsidRDefault="007E31A5" w:rsidP="007E31A5">
      <w:pPr>
        <w:jc w:val="center"/>
      </w:pPr>
      <w:r>
        <w:rPr>
          <w:noProof/>
        </w:rPr>
        <w:drawing>
          <wp:inline distT="0" distB="0" distL="0" distR="0">
            <wp:extent cx="5998403" cy="4072634"/>
            <wp:effectExtent l="19050" t="0" r="2347"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6004958" cy="4077084"/>
                    </a:xfrm>
                    <a:prstGeom prst="rect">
                      <a:avLst/>
                    </a:prstGeom>
                  </pic:spPr>
                </pic:pic>
              </a:graphicData>
            </a:graphic>
          </wp:inline>
        </w:drawing>
      </w:r>
    </w:p>
    <w:p w:rsidR="007E31A5" w:rsidRDefault="007E31A5" w:rsidP="007E31A5">
      <w:pPr>
        <w:jc w:val="center"/>
      </w:pPr>
    </w:p>
    <w:p w:rsidR="007E31A5" w:rsidRDefault="007E31A5" w:rsidP="007E31A5">
      <w:pPr>
        <w:pStyle w:val="Caption"/>
        <w:jc w:val="center"/>
        <w:rPr>
          <w:color w:val="auto"/>
        </w:rPr>
      </w:pPr>
      <w:proofErr w:type="gramStart"/>
      <w:r w:rsidRPr="007E31A5">
        <w:rPr>
          <w:color w:val="auto"/>
        </w:rPr>
        <w:t xml:space="preserve">Figure </w:t>
      </w:r>
      <w:r w:rsidR="009219A0" w:rsidRPr="007E31A5">
        <w:rPr>
          <w:color w:val="auto"/>
        </w:rPr>
        <w:fldChar w:fldCharType="begin"/>
      </w:r>
      <w:r w:rsidRPr="007E31A5">
        <w:rPr>
          <w:color w:val="auto"/>
        </w:rPr>
        <w:instrText xml:space="preserve"> SEQ Figure \* ARABIC </w:instrText>
      </w:r>
      <w:r w:rsidR="009219A0" w:rsidRPr="007E31A5">
        <w:rPr>
          <w:color w:val="auto"/>
        </w:rPr>
        <w:fldChar w:fldCharType="separate"/>
      </w:r>
      <w:r w:rsidR="00DC5142">
        <w:rPr>
          <w:noProof/>
          <w:color w:val="auto"/>
        </w:rPr>
        <w:t>1</w:t>
      </w:r>
      <w:r w:rsidR="009219A0" w:rsidRPr="007E31A5">
        <w:rPr>
          <w:color w:val="auto"/>
        </w:rPr>
        <w:fldChar w:fldCharType="end"/>
      </w:r>
      <w:r>
        <w:rPr>
          <w:color w:val="auto"/>
        </w:rPr>
        <w:t>.</w:t>
      </w:r>
      <w:proofErr w:type="gramEnd"/>
      <w:r w:rsidRPr="007E31A5">
        <w:rPr>
          <w:color w:val="auto"/>
        </w:rPr>
        <w:t xml:space="preserve"> Ethnographic Survey on Critical Thinking</w:t>
      </w:r>
    </w:p>
    <w:p w:rsidR="00410DBD" w:rsidRDefault="00410DBD" w:rsidP="00410DBD">
      <w:pPr>
        <w:jc w:val="both"/>
      </w:pPr>
    </w:p>
    <w:p w:rsidR="00410DBD" w:rsidRDefault="00410DBD" w:rsidP="00410DBD">
      <w:pPr>
        <w:jc w:val="both"/>
      </w:pPr>
      <w:r>
        <w:t xml:space="preserve">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  The reader is invited to contribute to this work by participating in the survey.  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9219A0" w:rsidP="00753E96">
      <w:pPr>
        <w:jc w:val="both"/>
      </w:pPr>
      <w:r>
        <w:rPr>
          <w:noProof/>
        </w:rPr>
        <w:pict>
          <v:shapetype id="_x0000_t202" coordsize="21600,21600" o:spt="202" path="m,l,21600r21600,l21600,xe">
            <v:stroke joinstyle="miter"/>
            <v:path gradientshapeok="t" o:connecttype="rect"/>
          </v:shapetype>
          <v:shape id="_x0000_s1026" type="#_x0000_t202" style="position:absolute;left:0;text-align:left;margin-left:210pt;margin-top:301.2pt;width:247.9pt;height:.05pt;z-index:251660288" stroked="f">
            <v:textbox style="mso-next-textbox:#_x0000_s1026;mso-fit-shape-to-text:t" inset="0,0,0,0">
              <w:txbxContent>
                <w:p w:rsidR="00833992" w:rsidRPr="00753E96" w:rsidRDefault="00833992" w:rsidP="00753E96">
                  <w:pPr>
                    <w:pStyle w:val="Caption"/>
                    <w:jc w:val="center"/>
                    <w:rPr>
                      <w:noProof/>
                      <w:color w:val="auto"/>
                      <w:sz w:val="20"/>
                      <w:szCs w:val="20"/>
                    </w:rPr>
                  </w:pPr>
                  <w:bookmarkStart w:id="0" w:name="_Ref40001581"/>
                  <w:bookmarkStart w:id="1" w:name="_Ref40001499"/>
                  <w:proofErr w:type="gramStart"/>
                  <w:r w:rsidRPr="00753E96">
                    <w:rPr>
                      <w:color w:val="auto"/>
                    </w:rPr>
                    <w:t xml:space="preserve">Figure </w:t>
                  </w:r>
                  <w:r w:rsidRPr="00753E96">
                    <w:rPr>
                      <w:color w:val="auto"/>
                    </w:rPr>
                    <w:fldChar w:fldCharType="begin"/>
                  </w:r>
                  <w:r w:rsidRPr="00753E96">
                    <w:rPr>
                      <w:color w:val="auto"/>
                    </w:rPr>
                    <w:instrText xml:space="preserve"> SEQ Figure \* ARABIC </w:instrText>
                  </w:r>
                  <w:r w:rsidRPr="00753E96">
                    <w:rPr>
                      <w:color w:val="auto"/>
                    </w:rPr>
                    <w:fldChar w:fldCharType="separate"/>
                  </w:r>
                  <w:r>
                    <w:rPr>
                      <w:noProof/>
                      <w:color w:val="auto"/>
                    </w:rPr>
                    <w:t>2</w:t>
                  </w:r>
                  <w:r w:rsidRPr="00753E96">
                    <w:rPr>
                      <w:color w:val="auto"/>
                    </w:rPr>
                    <w:fldChar w:fldCharType="end"/>
                  </w:r>
                  <w:bookmarkEnd w:id="0"/>
                  <w:r w:rsidRPr="00753E96">
                    <w:rPr>
                      <w:color w:val="auto"/>
                    </w:rPr>
                    <w:t>.</w:t>
                  </w:r>
                  <w:proofErr w:type="gramEnd"/>
                  <w:r w:rsidRPr="00753E96">
                    <w:rPr>
                      <w:color w:val="auto"/>
                    </w:rPr>
                    <w:t xml:space="preserve"> </w:t>
                  </w:r>
                  <w:proofErr w:type="gramStart"/>
                  <w:r w:rsidRPr="00753E96">
                    <w:rPr>
                      <w:color w:val="auto"/>
                    </w:rPr>
                    <w:t>Responses as shown to users.</w:t>
                  </w:r>
                  <w:bookmarkEnd w:id="1"/>
                  <w:proofErr w:type="gramEnd"/>
                </w:p>
              </w:txbxContent>
            </v:textbox>
            <w10:wrap type="square"/>
          </v:shape>
        </w:pict>
      </w:r>
      <w:r w:rsidR="00E00076">
        <w:t>The data management program fi</w:t>
      </w:r>
      <w:r w:rsidR="0067698F">
        <w:t>r</w:t>
      </w:r>
      <w:r w:rsidR="00E00076">
        <w:t xml:space="preserve">st checks for completion and evaluated the Likert data for non-compliance (no answers, all Likert answers the same value, program code in the text boxes, </w:t>
      </w:r>
      <w:r w:rsidR="00E00076" w:rsidRPr="00E00076">
        <w:rPr>
          <w:i/>
        </w:rPr>
        <w:t>etc.)</w:t>
      </w:r>
      <w:r w:rsidR="00664960">
        <w:rPr>
          <w:i/>
        </w:rPr>
        <w:t xml:space="preserve">. </w:t>
      </w:r>
      <w:r w:rsidR="00664960">
        <w:t xml:space="preserve">Discrepancies are noted and the participant is notified and invited to back up one page and complete the form.  While there is no rigorous security to prevent spacious data being maliciously submitted, the program has a function, disable during this test </w:t>
      </w:r>
      <w:proofErr w:type="gramStart"/>
      <w:r w:rsidR="00664960">
        <w:t>phase, that</w:t>
      </w:r>
      <w:proofErr w:type="gramEnd"/>
      <w:r w:rsidR="00664960">
        <w:t xml:space="preserve"> checks to see if the internet address associated with the previous input is submitting new data, in which case a diagnostic window advises the participant to contact one of the researchers to resolve the matter.</w:t>
      </w:r>
      <w:r w:rsidR="00E00076">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w:t>
      </w:r>
      <w:proofErr w:type="gramStart"/>
      <w:r w:rsidR="0067698F">
        <w:t>be</w:t>
      </w:r>
      <w:proofErr w:type="gramEnd"/>
      <w:r w:rsidR="0067698F">
        <w:t xml:space="preserve"> lost for any reason. </w:t>
      </w:r>
      <w:r w:rsidR="00753E96">
        <w:t xml:space="preserve">Of the 38 invitees, no one reported technical issues regarding </w:t>
      </w:r>
      <w:r w:rsidR="00664960">
        <w:t xml:space="preserve">pertaining to </w:t>
      </w:r>
      <w:r w:rsidR="00753E96">
        <w:t xml:space="preserve">or complaints on the survey.  Several asked to see the response summaries when completed.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664960" w:rsidP="008E698F">
      <w:pPr>
        <w:jc w:val="both"/>
      </w:pPr>
      <w:r>
        <w:rPr>
          <w:noProof/>
        </w:rPr>
        <w:lastRenderedPageBreak/>
        <w:drawing>
          <wp:anchor distT="0" distB="0" distL="114300" distR="114300" simplePos="0" relativeHeight="251662336" behindDoc="0" locked="0" layoutInCell="1" allowOverlap="1">
            <wp:simplePos x="0" y="0"/>
            <wp:positionH relativeFrom="column">
              <wp:posOffset>2882900</wp:posOffset>
            </wp:positionH>
            <wp:positionV relativeFrom="paragraph">
              <wp:posOffset>-635</wp:posOffset>
            </wp:positionV>
            <wp:extent cx="3147695" cy="3435350"/>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3147695" cy="3435350"/>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9219A0">
        <w:fldChar w:fldCharType="begin"/>
      </w:r>
      <w:r w:rsidR="00410DBD">
        <w:instrText xml:space="preserve"> REF _Ref40001581 \h </w:instrText>
      </w:r>
      <w:r w:rsidR="009219A0">
        <w:fldChar w:fldCharType="separate"/>
      </w:r>
      <w:r w:rsidR="00410DBD" w:rsidRPr="00753E96">
        <w:t xml:space="preserve">Figure </w:t>
      </w:r>
      <w:r w:rsidR="00410DBD" w:rsidRPr="00753E96">
        <w:rPr>
          <w:noProof/>
        </w:rPr>
        <w:t>2</w:t>
      </w:r>
      <w:r w:rsidR="009219A0">
        <w:fldChar w:fldCharType="end"/>
      </w:r>
      <w:r w:rsidR="00410DBD">
        <w:t>.  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 xml:space="preserve">.  </w:t>
      </w:r>
    </w:p>
    <w:p w:rsidR="00BC3956" w:rsidRDefault="00BC3956" w:rsidP="008E698F">
      <w:pPr>
        <w:jc w:val="both"/>
      </w:pPr>
    </w:p>
    <w:p w:rsidR="00BC3956" w:rsidRDefault="00BC3956" w:rsidP="008E698F">
      <w:pPr>
        <w:jc w:val="both"/>
      </w:pPr>
      <w:r>
        <w:t xml:space="preserve">Many of these early (part of the first group of 38) responses did not include input in the three closing text boxes.  The reason for this is not certain, but as so many of the participants had sent the researchers personal eMail and two phone calls, they may have thought the text box responses were superfluous.  As the snowball effect takes hold, more responses in the text boxes may occur.  Adding more contact data to the user response confirmation page is being considered.  </w:t>
      </w:r>
    </w:p>
    <w:p w:rsidR="00BC3956" w:rsidRDefault="00BC3956" w:rsidP="008E698F">
      <w:pPr>
        <w:jc w:val="both"/>
      </w:pPr>
    </w:p>
    <w:p w:rsidR="00BC3956" w:rsidRDefault="00BC3956" w:rsidP="008E698F">
      <w:pPr>
        <w:jc w:val="both"/>
      </w:pPr>
      <w:r>
        <w:t>The issue of whether the need for and enthusiasm about this issue is being analyzed.  A more sophisticated instrument, a better focused set of questions and a new look at project goals may result in ascertaining a wider mandate to pursue this.  One of the participants did report an effort in the US Army to address this issue and coordination with that effort will be initiated.</w:t>
      </w:r>
    </w:p>
    <w:p w:rsidR="0067698F" w:rsidRDefault="0067698F" w:rsidP="0067698F">
      <w:pPr>
        <w:jc w:val="center"/>
      </w:pPr>
    </w:p>
    <w:p w:rsidR="00E00076" w:rsidRDefault="0067698F" w:rsidP="00E00076">
      <w:r>
        <w:t xml:space="preserve">The PHP data management program stored the raw data, with the exception of the text from the closing three text boxes, in a flat file.  There was no need for elaborate relational data base creation. This data was kept in a comma separated values (CSV) list as is shown in </w:t>
      </w:r>
      <w:r w:rsidR="009219A0">
        <w:fldChar w:fldCharType="begin"/>
      </w:r>
      <w:r w:rsidR="00DC5142">
        <w:instrText xml:space="preserve"> REF _Ref40006365 \h </w:instrText>
      </w:r>
      <w:r w:rsidR="009219A0">
        <w:fldChar w:fldCharType="separate"/>
      </w:r>
      <w:r w:rsidR="00DC5142" w:rsidRPr="00DC5142">
        <w:t xml:space="preserve">Figure </w:t>
      </w:r>
      <w:r w:rsidR="00DC5142" w:rsidRPr="00DC5142">
        <w:rPr>
          <w:noProof/>
        </w:rPr>
        <w:t>3</w:t>
      </w:r>
      <w:r w:rsidR="009219A0">
        <w:fldChar w:fldCharType="end"/>
      </w:r>
      <w:r>
        <w:t xml:space="preserve"> below.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BC3956" w:rsidRPr="00DC5142" w:rsidRDefault="00DC5142" w:rsidP="00DC5142">
      <w:pPr>
        <w:pStyle w:val="Caption"/>
        <w:jc w:val="center"/>
        <w:rPr>
          <w:color w:val="auto"/>
        </w:rPr>
      </w:pPr>
      <w:bookmarkStart w:id="2" w:name="_Ref40006365"/>
      <w:r w:rsidRPr="00DC5142">
        <w:rPr>
          <w:color w:val="auto"/>
        </w:rPr>
        <w:t xml:space="preserve">Figure </w:t>
      </w:r>
      <w:r w:rsidR="009219A0" w:rsidRPr="00DC5142">
        <w:rPr>
          <w:color w:val="auto"/>
        </w:rPr>
        <w:fldChar w:fldCharType="begin"/>
      </w:r>
      <w:r w:rsidRPr="00DC5142">
        <w:rPr>
          <w:color w:val="auto"/>
        </w:rPr>
        <w:instrText xml:space="preserve"> SEQ Figure \* ARABIC </w:instrText>
      </w:r>
      <w:r w:rsidR="009219A0" w:rsidRPr="00DC5142">
        <w:rPr>
          <w:color w:val="auto"/>
        </w:rPr>
        <w:fldChar w:fldCharType="separate"/>
      </w:r>
      <w:r w:rsidRPr="00DC5142">
        <w:rPr>
          <w:noProof/>
          <w:color w:val="auto"/>
        </w:rPr>
        <w:t>3</w:t>
      </w:r>
      <w:r w:rsidR="009219A0" w:rsidRPr="00DC5142">
        <w:rPr>
          <w:color w:val="auto"/>
        </w:rPr>
        <w:fldChar w:fldCharType="end"/>
      </w:r>
      <w:bookmarkEnd w:id="2"/>
      <w:r w:rsidRPr="00DC5142">
        <w:rPr>
          <w:color w:val="auto"/>
        </w:rPr>
        <w:t xml:space="preserve"> - Flat CSV file showing data from survey</w:t>
      </w:r>
    </w:p>
    <w:p w:rsidR="00E00076" w:rsidRDefault="00E00076" w:rsidP="00BC3956">
      <w:pPr>
        <w:jc w:val="both"/>
      </w:pPr>
      <w:r>
        <w:br/>
      </w:r>
      <w:r w:rsidR="00DC5142">
        <w:t xml:space="preserve">The next issue was how to make sense of the data.  As already noted, the first insight as a confirmation and amplification of how important this issue is to the American warfighters.  But the issues </w:t>
      </w:r>
      <w:r w:rsidR="00BD15CD">
        <w:t>themselves</w:t>
      </w:r>
      <w:r w:rsidR="00DC5142">
        <w:t xml:space="preserve"> required some more detailed consideration.  In the case of this paper, the analysis is not the main thrust of the paper, so the raw data amalgamations will be reported.  The analysis of this data or the more casual insights to be drawn therefrom is left to the reader alone.  </w:t>
      </w:r>
    </w:p>
    <w:p w:rsidR="00DC5142" w:rsidRDefault="00DC5142" w:rsidP="00BC3956">
      <w:pPr>
        <w:jc w:val="both"/>
      </w:pPr>
    </w:p>
    <w:p w:rsidR="00BD15CD" w:rsidRPr="00BD15CD" w:rsidRDefault="00BD15CD" w:rsidP="00BD15CD">
      <w:pPr>
        <w:pStyle w:val="Caption"/>
        <w:keepNext/>
        <w:jc w:val="center"/>
        <w:rPr>
          <w:color w:val="auto"/>
        </w:rPr>
      </w:pPr>
      <w:r w:rsidRPr="00BD15CD">
        <w:rPr>
          <w:color w:val="auto"/>
        </w:rPr>
        <w:t xml:space="preserve">Table </w:t>
      </w:r>
      <w:r w:rsidR="009219A0" w:rsidRPr="00BD15CD">
        <w:rPr>
          <w:color w:val="auto"/>
        </w:rPr>
        <w:fldChar w:fldCharType="begin"/>
      </w:r>
      <w:r w:rsidRPr="00BD15CD">
        <w:rPr>
          <w:color w:val="auto"/>
        </w:rPr>
        <w:instrText xml:space="preserve"> SEQ Table \* ARABIC </w:instrText>
      </w:r>
      <w:r w:rsidR="009219A0" w:rsidRPr="00BD15CD">
        <w:rPr>
          <w:color w:val="auto"/>
        </w:rPr>
        <w:fldChar w:fldCharType="separate"/>
      </w:r>
      <w:r w:rsidR="00802811">
        <w:rPr>
          <w:noProof/>
          <w:color w:val="auto"/>
        </w:rPr>
        <w:t>1</w:t>
      </w:r>
      <w:r w:rsidR="009219A0" w:rsidRPr="00BD15CD">
        <w:rPr>
          <w:color w:val="auto"/>
        </w:rPr>
        <w:fldChar w:fldCharType="end"/>
      </w:r>
      <w:r w:rsidRPr="00BD15CD">
        <w:rPr>
          <w:color w:val="auto"/>
        </w:rPr>
        <w:t>. Participant's Familiarity</w:t>
      </w:r>
      <w:r w:rsidR="00EB12F0">
        <w:rPr>
          <w:color w:val="auto"/>
        </w:rPr>
        <w:t xml:space="preserve"> with</w:t>
      </w:r>
      <w:r w:rsidRPr="00BD15CD">
        <w:rPr>
          <w:color w:val="auto"/>
        </w:rPr>
        <w:t xml:space="preserve"> and Use of Term</w:t>
      </w:r>
    </w:p>
    <w:tbl>
      <w:tblPr>
        <w:tblStyle w:val="TableGrid"/>
        <w:tblW w:w="9918" w:type="dxa"/>
        <w:tblLook w:val="04A0"/>
      </w:tblPr>
      <w:tblGrid>
        <w:gridCol w:w="2628"/>
        <w:gridCol w:w="2394"/>
        <w:gridCol w:w="2106"/>
        <w:gridCol w:w="2790"/>
      </w:tblGrid>
      <w:tr w:rsidR="00BD15CD" w:rsidTr="00BD15CD">
        <w:tc>
          <w:tcPr>
            <w:tcW w:w="2628" w:type="dxa"/>
          </w:tcPr>
          <w:p w:rsidR="00BD15CD" w:rsidRDefault="00BD15CD" w:rsidP="00EB12F0">
            <w:pPr>
              <w:jc w:val="both"/>
            </w:pPr>
            <w:r>
              <w:t>Familiar with term:</w:t>
            </w:r>
          </w:p>
        </w:tc>
        <w:tc>
          <w:tcPr>
            <w:tcW w:w="2394" w:type="dxa"/>
          </w:tcPr>
          <w:p w:rsidR="00BD15CD" w:rsidRDefault="00BD15CD" w:rsidP="00EB12F0">
            <w:pPr>
              <w:jc w:val="both"/>
            </w:pPr>
            <w:r>
              <w:t>Term Importance:</w:t>
            </w:r>
          </w:p>
        </w:tc>
        <w:tc>
          <w:tcPr>
            <w:tcW w:w="2106" w:type="dxa"/>
          </w:tcPr>
          <w:p w:rsidR="00BD15CD" w:rsidRDefault="00BD15CD" w:rsidP="00EB12F0">
            <w:pPr>
              <w:jc w:val="both"/>
            </w:pPr>
            <w:r>
              <w:t>Definition experience:</w:t>
            </w:r>
          </w:p>
        </w:tc>
        <w:tc>
          <w:tcPr>
            <w:tcW w:w="2790" w:type="dxa"/>
          </w:tcPr>
          <w:p w:rsidR="00BD15CD" w:rsidRDefault="00BD15CD" w:rsidP="00EB12F0">
            <w:pPr>
              <w:jc w:val="both"/>
            </w:pPr>
            <w:r>
              <w:t>Own vision of term:</w:t>
            </w:r>
          </w:p>
        </w:tc>
      </w:tr>
      <w:tr w:rsidR="00BD15CD" w:rsidTr="00BD15CD">
        <w:tc>
          <w:tcPr>
            <w:tcW w:w="2628" w:type="dxa"/>
          </w:tcPr>
          <w:p w:rsidR="00EB12F0" w:rsidRDefault="00EB12F0" w:rsidP="00BD15CD">
            <w:pPr>
              <w:jc w:val="both"/>
            </w:pPr>
            <w:r>
              <w:t xml:space="preserve">  </w:t>
            </w:r>
            <w:r w:rsidR="00BD15CD">
              <w:t>2 Never heard the word used</w:t>
            </w:r>
          </w:p>
          <w:p w:rsidR="00BD15CD" w:rsidRDefault="00EB12F0" w:rsidP="00BD15CD">
            <w:pPr>
              <w:jc w:val="both"/>
            </w:pPr>
            <w:r>
              <w:t xml:space="preserve">  </w:t>
            </w:r>
            <w:r w:rsidR="00BD15CD">
              <w:t>2 Have heard others use it;</w:t>
            </w:r>
          </w:p>
          <w:p w:rsidR="00BD15CD" w:rsidRDefault="00EB12F0" w:rsidP="00BD15CD">
            <w:pPr>
              <w:jc w:val="both"/>
            </w:pPr>
            <w:r>
              <w:t xml:space="preserve">  </w:t>
            </w:r>
            <w:r w:rsidR="00BD15CD">
              <w:t>8 Have used it a little;</w:t>
            </w:r>
          </w:p>
          <w:p w:rsidR="00BD15CD" w:rsidRDefault="00BD15CD" w:rsidP="00BD15CD">
            <w:pPr>
              <w:jc w:val="both"/>
            </w:pPr>
            <w:r>
              <w:t>15 Used it and am interested;</w:t>
            </w:r>
          </w:p>
          <w:p w:rsidR="00BD15CD" w:rsidRDefault="00EB12F0" w:rsidP="00BD15CD">
            <w:pPr>
              <w:jc w:val="both"/>
            </w:pPr>
            <w:r>
              <w:t xml:space="preserve">  </w:t>
            </w:r>
            <w:r w:rsidR="00BD15CD">
              <w:t>3 Deeply Involved;</w:t>
            </w:r>
          </w:p>
          <w:p w:rsidR="00BD15CD" w:rsidRDefault="00EB12F0" w:rsidP="00EB12F0">
            <w:pPr>
              <w:jc w:val="both"/>
            </w:pPr>
            <w:r>
              <w:t xml:space="preserve">  </w:t>
            </w:r>
            <w:r w:rsidR="00BD15CD">
              <w:t>5</w:t>
            </w:r>
            <w:r w:rsidR="00BD15CD" w:rsidRPr="00075F9C">
              <w:t xml:space="preserve"> </w:t>
            </w:r>
            <w:r w:rsidR="00BD15CD">
              <w:t>Participated in Discussion.</w:t>
            </w:r>
          </w:p>
        </w:tc>
        <w:tc>
          <w:tcPr>
            <w:tcW w:w="2394" w:type="dxa"/>
          </w:tcPr>
          <w:p w:rsidR="00BD15CD" w:rsidRDefault="00EB12F0" w:rsidP="00BD15CD">
            <w:pPr>
              <w:jc w:val="both"/>
            </w:pPr>
            <w:r>
              <w:t xml:space="preserve">  </w:t>
            </w:r>
            <w:r w:rsidR="00BD15CD">
              <w:t>5 Never Seen;</w:t>
            </w:r>
          </w:p>
          <w:p w:rsidR="00BD15CD" w:rsidRDefault="00EB12F0" w:rsidP="00BD15CD">
            <w:pPr>
              <w:jc w:val="both"/>
            </w:pPr>
            <w:r>
              <w:t xml:space="preserve">  </w:t>
            </w:r>
            <w:r w:rsidR="00BD15CD">
              <w:t>2 No Consensus;</w:t>
            </w:r>
          </w:p>
          <w:p w:rsidR="00BD15CD" w:rsidRDefault="00BD15CD" w:rsidP="00BD15CD">
            <w:pPr>
              <w:jc w:val="both"/>
            </w:pPr>
            <w:r>
              <w:t xml:space="preserve"> </w:t>
            </w:r>
            <w:r w:rsidR="00EB12F0">
              <w:t xml:space="preserve"> </w:t>
            </w:r>
            <w:r>
              <w:t>8 Competing Definitions;</w:t>
            </w:r>
          </w:p>
          <w:p w:rsidR="00BD15CD" w:rsidRDefault="00BD15CD" w:rsidP="00BD15CD">
            <w:pPr>
              <w:jc w:val="both"/>
            </w:pPr>
            <w:r>
              <w:t>11 Mine Evolving;</w:t>
            </w:r>
          </w:p>
          <w:p w:rsidR="00BD15CD" w:rsidRDefault="00EB12F0" w:rsidP="00BD15CD">
            <w:pPr>
              <w:jc w:val="both"/>
            </w:pPr>
            <w:r>
              <w:t xml:space="preserve">  </w:t>
            </w:r>
            <w:r w:rsidR="00BD15CD">
              <w:t>0 well defined consensus;</w:t>
            </w:r>
          </w:p>
          <w:p w:rsidR="00BD15CD" w:rsidRDefault="00EB12F0" w:rsidP="00BC3956">
            <w:pPr>
              <w:jc w:val="both"/>
            </w:pPr>
            <w:r>
              <w:t xml:space="preserve">  </w:t>
            </w:r>
            <w:r w:rsidR="00BD15CD">
              <w:t xml:space="preserve">0 Universal </w:t>
            </w:r>
            <w:proofErr w:type="gramStart"/>
            <w:r w:rsidR="00BD15CD">
              <w:t>Term</w:t>
            </w:r>
            <w:proofErr w:type="gramEnd"/>
            <w:r w:rsidR="00BD15CD">
              <w:t>.</w:t>
            </w:r>
          </w:p>
        </w:tc>
        <w:tc>
          <w:tcPr>
            <w:tcW w:w="2106" w:type="dxa"/>
          </w:tcPr>
          <w:p w:rsidR="00BD15CD" w:rsidRDefault="00EB12F0" w:rsidP="00BD15CD">
            <w:pPr>
              <w:jc w:val="both"/>
            </w:pPr>
            <w:r>
              <w:t xml:space="preserve">  </w:t>
            </w:r>
            <w:r w:rsidR="00BD15CD">
              <w:t>8 Not Important;</w:t>
            </w:r>
          </w:p>
          <w:p w:rsidR="00BD15CD" w:rsidRDefault="00BD15CD" w:rsidP="00BD15CD">
            <w:pPr>
              <w:jc w:val="both"/>
            </w:pPr>
            <w:r>
              <w:t xml:space="preserve"> </w:t>
            </w:r>
            <w:r w:rsidR="00EB12F0">
              <w:t xml:space="preserve"> </w:t>
            </w:r>
            <w:r>
              <w:t>0 Interesting;</w:t>
            </w:r>
          </w:p>
          <w:p w:rsidR="00BD15CD" w:rsidRDefault="00BD15CD" w:rsidP="00BD15CD">
            <w:pPr>
              <w:jc w:val="both"/>
            </w:pPr>
            <w:r>
              <w:t>14 Useful Concept;</w:t>
            </w:r>
          </w:p>
          <w:p w:rsidR="00BD15CD" w:rsidRDefault="00BD15CD" w:rsidP="00BD15CD">
            <w:pPr>
              <w:jc w:val="both"/>
            </w:pPr>
            <w:r>
              <w:t xml:space="preserve"> </w:t>
            </w:r>
            <w:r w:rsidR="00EB12F0">
              <w:t xml:space="preserve"> </w:t>
            </w:r>
            <w:r>
              <w:t>0 Important to Others;</w:t>
            </w:r>
          </w:p>
          <w:p w:rsidR="00BD15CD" w:rsidRDefault="00EB12F0" w:rsidP="00BD15CD">
            <w:pPr>
              <w:jc w:val="both"/>
            </w:pPr>
            <w:r>
              <w:t xml:space="preserve"> </w:t>
            </w:r>
            <w:r w:rsidR="00BD15CD">
              <w:t xml:space="preserve"> 7 Important to me;</w:t>
            </w:r>
          </w:p>
          <w:p w:rsidR="00BD15CD" w:rsidRDefault="00EB12F0" w:rsidP="00EB12F0">
            <w:pPr>
              <w:jc w:val="both"/>
            </w:pPr>
            <w:r>
              <w:t xml:space="preserve"> </w:t>
            </w:r>
            <w:r w:rsidR="00BD15CD">
              <w:t xml:space="preserve"> 5</w:t>
            </w:r>
            <w:r w:rsidR="00BD15CD" w:rsidRPr="004D0D2F">
              <w:t xml:space="preserve"> </w:t>
            </w:r>
            <w:r w:rsidR="00BD15CD">
              <w:t xml:space="preserve">Vital to all. </w:t>
            </w:r>
          </w:p>
        </w:tc>
        <w:tc>
          <w:tcPr>
            <w:tcW w:w="2790" w:type="dxa"/>
          </w:tcPr>
          <w:p w:rsidR="00BD15CD" w:rsidRDefault="00EB12F0" w:rsidP="00BD15CD">
            <w:pPr>
              <w:jc w:val="both"/>
            </w:pPr>
            <w:r>
              <w:t xml:space="preserve">  </w:t>
            </w:r>
            <w:r w:rsidR="00BD15CD">
              <w:t>4 Never Considered;</w:t>
            </w:r>
          </w:p>
          <w:p w:rsidR="00BD15CD" w:rsidRDefault="00EB12F0" w:rsidP="00BD15CD">
            <w:pPr>
              <w:jc w:val="both"/>
            </w:pPr>
            <w:r>
              <w:t xml:space="preserve"> </w:t>
            </w:r>
            <w:r w:rsidR="00BD15CD">
              <w:t xml:space="preserve"> 1 Nebulous;</w:t>
            </w:r>
          </w:p>
          <w:p w:rsidR="00BD15CD" w:rsidRDefault="00BD15CD" w:rsidP="00BD15CD">
            <w:pPr>
              <w:jc w:val="both"/>
            </w:pPr>
            <w:r>
              <w:t>19 Open to new;</w:t>
            </w:r>
          </w:p>
          <w:p w:rsidR="00BD15CD" w:rsidRDefault="00EB12F0" w:rsidP="00BD15CD">
            <w:pPr>
              <w:jc w:val="both"/>
            </w:pPr>
            <w:r>
              <w:t xml:space="preserve"> </w:t>
            </w:r>
            <w:r w:rsidR="00BD15CD">
              <w:t xml:space="preserve"> 9 Will Adopt Others;</w:t>
            </w:r>
          </w:p>
          <w:p w:rsidR="00BD15CD" w:rsidRDefault="00BD15CD" w:rsidP="00BD15CD">
            <w:pPr>
              <w:jc w:val="both"/>
            </w:pPr>
            <w:r>
              <w:t>20</w:t>
            </w:r>
            <w:r w:rsidRPr="00670F83">
              <w:t xml:space="preserve"> </w:t>
            </w:r>
            <w:r>
              <w:t>Comfortable with my view;</w:t>
            </w:r>
          </w:p>
          <w:p w:rsidR="00BD15CD" w:rsidRDefault="00EB12F0" w:rsidP="00EB12F0">
            <w:pPr>
              <w:jc w:val="both"/>
            </w:pPr>
            <w:r>
              <w:t xml:space="preserve"> </w:t>
            </w:r>
            <w:r w:rsidR="00BD15CD">
              <w:t xml:space="preserve"> 0 Committed to mine.</w:t>
            </w:r>
          </w:p>
        </w:tc>
      </w:tr>
    </w:tbl>
    <w:p w:rsidR="00BD15CD" w:rsidRDefault="00BD15CD" w:rsidP="00BC3956">
      <w:pPr>
        <w:jc w:val="both"/>
        <w:sectPr w:rsidR="00BD15CD" w:rsidSect="004B4C30">
          <w:headerReference w:type="even" r:id="rId11"/>
          <w:headerReference w:type="default" r:id="rId12"/>
          <w:footerReference w:type="even" r:id="rId13"/>
          <w:footerReference w:type="default" r:id="rId14"/>
          <w:headerReference w:type="first" r:id="rId15"/>
          <w:footerReference w:type="first" r:id="rId16"/>
          <w:pgSz w:w="12240" w:h="15840"/>
          <w:pgMar w:top="1260" w:right="1440" w:bottom="1080" w:left="1440" w:header="0" w:footer="720" w:gutter="0"/>
          <w:cols w:space="720"/>
          <w:formProt w:val="0"/>
          <w:docGrid w:linePitch="272" w:charSpace="8192"/>
        </w:sectPr>
      </w:pPr>
    </w:p>
    <w:p w:rsidR="00BD15CD" w:rsidRDefault="00BD15CD" w:rsidP="00BC3956">
      <w:pPr>
        <w:jc w:val="both"/>
      </w:pPr>
    </w:p>
    <w:p w:rsidR="00BD15CD" w:rsidRDefault="00BD15CD" w:rsidP="00BC3956">
      <w:pPr>
        <w:jc w:val="both"/>
      </w:pPr>
    </w:p>
    <w:p w:rsidR="00BC720F" w:rsidRDefault="00075F9C" w:rsidP="00BD15CD">
      <w:pPr>
        <w:jc w:val="both"/>
      </w:pPr>
      <w:r>
        <w:lastRenderedPageBreak/>
        <w:t xml:space="preserve"> </w:t>
      </w:r>
      <w:r w:rsidR="00BC720F">
        <w:t xml:space="preserve"> </w:t>
      </w:r>
    </w:p>
    <w:p w:rsidR="00BD15CD" w:rsidRDefault="00BD15CD" w:rsidP="00BC3956">
      <w:pPr>
        <w:jc w:val="both"/>
        <w:sectPr w:rsidR="00BD15CD" w:rsidSect="00BD15CD">
          <w:type w:val="continuous"/>
          <w:pgSz w:w="12240" w:h="15840"/>
          <w:pgMar w:top="1260" w:right="1440" w:bottom="1080" w:left="1440" w:header="0" w:footer="720" w:gutter="0"/>
          <w:cols w:num="3" w:space="90"/>
          <w:formProt w:val="0"/>
          <w:docGrid w:linePitch="272" w:charSpace="8192"/>
        </w:sectPr>
      </w:pPr>
    </w:p>
    <w:p w:rsidR="00BC720F" w:rsidRDefault="00BC720F" w:rsidP="00BC3956">
      <w:pPr>
        <w:jc w:val="both"/>
      </w:pPr>
    </w:p>
    <w:p w:rsidR="004D0D2F" w:rsidRPr="00E00076" w:rsidRDefault="004D0D2F" w:rsidP="00BC3956">
      <w:pPr>
        <w:jc w:val="both"/>
      </w:pPr>
    </w:p>
    <w:p w:rsidR="0004545F" w:rsidRDefault="00802811" w:rsidP="00BC3956">
      <w:pPr>
        <w:jc w:val="both"/>
      </w:pPr>
      <w:r>
        <w:t xml:space="preserve">And the data from the Likert Survey appears below is </w:t>
      </w:r>
      <w:r w:rsidR="009219A0">
        <w:fldChar w:fldCharType="begin"/>
      </w:r>
      <w:r>
        <w:instrText xml:space="preserve"> REF _Ref40013718 \h </w:instrText>
      </w:r>
      <w:r w:rsidR="009219A0">
        <w:fldChar w:fldCharType="separate"/>
      </w:r>
      <w:r w:rsidRPr="00BD15CD">
        <w:t xml:space="preserve">Table </w:t>
      </w:r>
      <w:r>
        <w:rPr>
          <w:noProof/>
        </w:rPr>
        <w:t>2</w:t>
      </w:r>
      <w:r w:rsidRPr="00BD15CD">
        <w:t>. Participant's Familiarity</w:t>
      </w:r>
      <w:r>
        <w:t xml:space="preserve"> with</w:t>
      </w:r>
      <w:r w:rsidRPr="00BD15CD">
        <w:t xml:space="preserve"> and Use of Term</w:t>
      </w:r>
      <w:r w:rsidR="009219A0">
        <w:fldChar w:fldCharType="end"/>
      </w:r>
      <w:r>
        <w:t>:</w:t>
      </w:r>
    </w:p>
    <w:p w:rsidR="00802811" w:rsidRDefault="00802811" w:rsidP="00BC3956">
      <w:pPr>
        <w:jc w:val="both"/>
      </w:pPr>
    </w:p>
    <w:p w:rsidR="00802811" w:rsidRPr="00BD15CD" w:rsidRDefault="00802811" w:rsidP="00802811">
      <w:pPr>
        <w:pStyle w:val="Caption"/>
        <w:keepNext/>
        <w:jc w:val="center"/>
        <w:rPr>
          <w:color w:val="auto"/>
        </w:rPr>
      </w:pPr>
      <w:bookmarkStart w:id="3" w:name="_Ref40013718"/>
      <w:proofErr w:type="gramStart"/>
      <w:r w:rsidRPr="00BD15CD">
        <w:rPr>
          <w:color w:val="auto"/>
        </w:rPr>
        <w:t xml:space="preserve">Table </w:t>
      </w:r>
      <w:r w:rsidR="009219A0" w:rsidRPr="00BD15CD">
        <w:rPr>
          <w:color w:val="auto"/>
        </w:rPr>
        <w:fldChar w:fldCharType="begin"/>
      </w:r>
      <w:r w:rsidRPr="00BD15CD">
        <w:rPr>
          <w:color w:val="auto"/>
        </w:rPr>
        <w:instrText xml:space="preserve"> SEQ Table \* ARABIC </w:instrText>
      </w:r>
      <w:r w:rsidR="009219A0" w:rsidRPr="00BD15CD">
        <w:rPr>
          <w:color w:val="auto"/>
        </w:rPr>
        <w:fldChar w:fldCharType="separate"/>
      </w:r>
      <w:r>
        <w:rPr>
          <w:noProof/>
          <w:color w:val="auto"/>
        </w:rPr>
        <w:t>2</w:t>
      </w:r>
      <w:r w:rsidR="009219A0" w:rsidRPr="00BD15CD">
        <w:rPr>
          <w:color w:val="auto"/>
        </w:rPr>
        <w:fldChar w:fldCharType="end"/>
      </w:r>
      <w:r w:rsidRPr="00BD15CD">
        <w:rPr>
          <w:color w:val="auto"/>
        </w:rPr>
        <w:t>.</w:t>
      </w:r>
      <w:proofErr w:type="gramEnd"/>
      <w:r w:rsidRPr="00BD15CD">
        <w:rPr>
          <w:color w:val="auto"/>
        </w:rPr>
        <w:t xml:space="preserve"> </w:t>
      </w:r>
      <w:bookmarkEnd w:id="3"/>
      <w:r>
        <w:rPr>
          <w:color w:val="auto"/>
        </w:rPr>
        <w:t>Likert Survey Responses</w:t>
      </w:r>
    </w:p>
    <w:tbl>
      <w:tblPr>
        <w:tblW w:w="8746" w:type="dxa"/>
        <w:tblInd w:w="85" w:type="dxa"/>
        <w:tblLook w:val="04A0"/>
      </w:tblPr>
      <w:tblGrid>
        <w:gridCol w:w="3880"/>
        <w:gridCol w:w="960"/>
        <w:gridCol w:w="960"/>
        <w:gridCol w:w="960"/>
        <w:gridCol w:w="993"/>
        <w:gridCol w:w="993"/>
      </w:tblGrid>
      <w:tr w:rsidR="00802811" w:rsidRPr="00802811" w:rsidTr="00802811">
        <w:trPr>
          <w:trHeight w:val="570"/>
        </w:trPr>
        <w:tc>
          <w:tcPr>
            <w:tcW w:w="388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802811" w:rsidRPr="00802811" w:rsidRDefault="00802811" w:rsidP="00802811">
            <w:pPr>
              <w:rPr>
                <w:rFonts w:ascii="Calibri" w:hAnsi="Calibri" w:cs="Calibri"/>
                <w:color w:val="000000"/>
                <w:sz w:val="22"/>
                <w:szCs w:val="22"/>
              </w:rPr>
            </w:pPr>
            <w:r>
              <w:t>=</w:t>
            </w:r>
            <w:r w:rsidRPr="00802811">
              <w:rPr>
                <w:rFonts w:ascii="Calibri" w:hAnsi="Calibri" w:cs="Calibri"/>
                <w:color w:val="000000"/>
                <w:sz w:val="22"/>
                <w:szCs w:val="22"/>
              </w:rPr>
              <w:t> </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Strongly 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802811" w:rsidRDefault="00802811" w:rsidP="00802811">
            <w:pPr>
              <w:jc w:val="center"/>
              <w:rPr>
                <w:rFonts w:ascii="Calibri" w:hAnsi="Calibri" w:cs="Calibri"/>
                <w:color w:val="000000"/>
                <w:sz w:val="22"/>
                <w:szCs w:val="22"/>
              </w:rPr>
            </w:pPr>
            <w:r>
              <w:rPr>
                <w:rFonts w:ascii="Calibri" w:hAnsi="Calibri" w:cs="Calibri"/>
                <w:color w:val="000000"/>
                <w:sz w:val="22"/>
                <w:szCs w:val="22"/>
              </w:rPr>
              <w:t>Ag</w:t>
            </w:r>
            <w:r w:rsidRPr="00802811">
              <w:rPr>
                <w:rFonts w:ascii="Calibri" w:hAnsi="Calibri" w:cs="Calibri"/>
                <w:color w:val="000000"/>
                <w:sz w:val="22"/>
                <w:szCs w:val="22"/>
              </w:rPr>
              <w:t>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Neutral</w:t>
            </w:r>
          </w:p>
        </w:tc>
        <w:tc>
          <w:tcPr>
            <w:tcW w:w="993" w:type="dxa"/>
            <w:tcBorders>
              <w:top w:val="double" w:sz="6" w:space="0" w:color="auto"/>
              <w:left w:val="nil"/>
              <w:bottom w:val="single" w:sz="8" w:space="0" w:color="auto"/>
              <w:right w:val="single" w:sz="8" w:space="0" w:color="auto"/>
            </w:tcBorders>
            <w:shd w:val="clear" w:color="auto" w:fill="auto"/>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Disagree</w:t>
            </w:r>
          </w:p>
        </w:tc>
        <w:tc>
          <w:tcPr>
            <w:tcW w:w="993" w:type="dxa"/>
            <w:tcBorders>
              <w:top w:val="double" w:sz="6" w:space="0" w:color="auto"/>
              <w:left w:val="nil"/>
              <w:bottom w:val="single" w:sz="8" w:space="0" w:color="auto"/>
              <w:right w:val="double" w:sz="6" w:space="0" w:color="auto"/>
            </w:tcBorders>
            <w:shd w:val="clear" w:color="auto" w:fill="auto"/>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Strongly Disagree</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Critical Thinking different from Intelligence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Critical Thinking is vital</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74%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26%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Should be factor in advancement</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No Emotionality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20%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14%</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Disciplined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Follows hunches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Recursive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Open to Novel Ideas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43%</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Rejects Social Pressure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29%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54%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Relies on Intuition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29%</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9%</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Inclined to Quantify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6%</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Avoids Disruption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17%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37%</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9%</w:t>
            </w:r>
          </w:p>
        </w:tc>
      </w:tr>
      <w:tr w:rsidR="00E16F2C" w:rsidRPr="00802811" w:rsidTr="00802811">
        <w:trPr>
          <w:trHeight w:val="315"/>
        </w:trPr>
        <w:tc>
          <w:tcPr>
            <w:tcW w:w="3880" w:type="dxa"/>
            <w:tcBorders>
              <w:top w:val="nil"/>
              <w:left w:val="double" w:sz="6" w:space="0" w:color="auto"/>
              <w:bottom w:val="double" w:sz="6" w:space="0" w:color="auto"/>
              <w:right w:val="single" w:sz="8" w:space="0" w:color="auto"/>
            </w:tcBorders>
            <w:shd w:val="clear" w:color="auto" w:fill="auto"/>
            <w:noWrap/>
            <w:vAlign w:val="bottom"/>
            <w:hideMark/>
          </w:tcPr>
          <w:p w:rsidR="00E16F2C" w:rsidRPr="00802811" w:rsidRDefault="00E16F2C" w:rsidP="00802811">
            <w:pPr>
              <w:jc w:val="both"/>
              <w:rPr>
                <w:color w:val="000000"/>
              </w:rPr>
            </w:pPr>
            <w:r w:rsidRPr="00802811">
              <w:rPr>
                <w:color w:val="000000"/>
              </w:rPr>
              <w:t>Considers Context</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40%</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34%</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26%</w:t>
            </w:r>
          </w:p>
        </w:tc>
        <w:tc>
          <w:tcPr>
            <w:tcW w:w="993" w:type="dxa"/>
            <w:tcBorders>
              <w:top w:val="nil"/>
              <w:left w:val="nil"/>
              <w:bottom w:val="double" w:sz="6" w:space="0" w:color="auto"/>
              <w:right w:val="single" w:sz="8"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c>
          <w:tcPr>
            <w:tcW w:w="993" w:type="dxa"/>
            <w:tcBorders>
              <w:top w:val="nil"/>
              <w:left w:val="nil"/>
              <w:bottom w:val="double" w:sz="6" w:space="0" w:color="auto"/>
              <w:right w:val="double" w:sz="6" w:space="0" w:color="auto"/>
            </w:tcBorders>
            <w:shd w:val="clear" w:color="auto" w:fill="auto"/>
            <w:noWrap/>
            <w:vAlign w:val="bottom"/>
            <w:hideMark/>
          </w:tcPr>
          <w:p w:rsidR="00E16F2C" w:rsidRDefault="00E16F2C">
            <w:pPr>
              <w:jc w:val="right"/>
              <w:rPr>
                <w:rFonts w:ascii="Calibri" w:hAnsi="Calibri" w:cs="Calibri"/>
                <w:color w:val="000000"/>
                <w:sz w:val="22"/>
                <w:szCs w:val="22"/>
              </w:rPr>
            </w:pPr>
            <w:r>
              <w:rPr>
                <w:rFonts w:ascii="Calibri" w:hAnsi="Calibri" w:cs="Calibri"/>
                <w:color w:val="000000"/>
                <w:sz w:val="22"/>
                <w:szCs w:val="22"/>
              </w:rPr>
              <w:t>0%</w:t>
            </w:r>
          </w:p>
        </w:tc>
      </w:tr>
    </w:tbl>
    <w:p w:rsidR="00802811" w:rsidRDefault="00802811" w:rsidP="00802811">
      <w:pPr>
        <w:jc w:val="center"/>
      </w:pPr>
    </w:p>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 xml:space="preserve">There are three recognized pedagogies that have shown promise in inculcating both Metacognition and Critical Thinking.  For want of a better set of terms, this paper will discuss these three: Didactic, Socratic and Constructivist.  These terms are commonly use, but just as commonly disputed as to what they mean and how they should be used. However, for this paper to proceed, it is necessary to have an understanding about the terms that are to be used.  For that reason, the following comments are offered, not to resolve the competing issues, but to define how the terms will be used.  </w:t>
      </w:r>
      <w:r w:rsidR="00B82CD3">
        <w:t xml:space="preserve">In an artificially plain language format, the Didactic method will be taken to mean that situation in which a “knowing entity” has information needed by an unknowing party and resolves that issue by telling the “unknowing entity” the needed information.  This approach is intuitive and is commonly available in the classroom and is often called the “lecture method” (Paul, </w:t>
      </w:r>
      <w:r w:rsidR="00B82CD3" w:rsidRPr="00861E0A">
        <w:rPr>
          <w:i/>
        </w:rPr>
        <w:t>et al</w:t>
      </w:r>
      <w:r w:rsidR="00B82CD3">
        <w:t xml:space="preserve">., 2019). Socrates found this method to not create the future environment for the student to learn and was unduly reliant on the teacher.  His Socratic method as based on propounding a series of challenges to the “unknowing entity”, thereby forcing them to </w:t>
      </w:r>
      <w:r w:rsidR="00096BE4">
        <w:t>learn the truth on their own and so be better able to learn things they do not know now but will need to know in the future.  This approach has many benefits, but is difficult to use and is not facile in areas such as teaching calculus, which is significantly more complex and abstract than is how to be a member of the Greek elite in 400 BC.  The last method we shall address is Constructivism.  That term will be used to identify the approach that has the “knowing entity” create a series of tasks or challenges designed to cause the “unknowing entity” to have to master the needed skills in order to achieve the identified goal.  This method can be understood to substitute the goal driven activities in a germane environment for the incisive questions of the Socratic master</w:t>
      </w:r>
      <w:r w:rsidR="00096BE4" w:rsidRPr="00096BE4">
        <w:t xml:space="preserve"> </w:t>
      </w:r>
      <w:r w:rsidR="00096BE4">
        <w:t>(</w:t>
      </w:r>
      <w:proofErr w:type="spellStart"/>
      <w:r w:rsidR="00096BE4">
        <w:t>Ng'ambi</w:t>
      </w:r>
      <w:proofErr w:type="spellEnd"/>
      <w:r w:rsidR="00096BE4">
        <w:t xml:space="preserve"> &amp; Johnston, 2006).  All three have their strengths, weaknesses and hazards.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  The Didactic approach is to recognize the impact of training the student to remember and invoke a set of rules.  These rules are on the order of: establish the situation, identify the challenge, consider a solution, review supporting facts for this solution, consider opposing facts, implement the solution, test, evaluate and recycle. There is some supporting evidence</w:t>
      </w:r>
      <w:r w:rsidR="00366A3F">
        <w:t xml:space="preserve"> that this track</w:t>
      </w:r>
      <w:r>
        <w:t xml:space="preserve"> </w:t>
      </w:r>
      <w:r w:rsidR="00366A3F">
        <w:t xml:space="preserve">is </w:t>
      </w:r>
      <w:r>
        <w:t xml:space="preserve">not only effective, it has been shown to be durable.  The Socratic </w:t>
      </w:r>
      <w:proofErr w:type="gramStart"/>
      <w:r>
        <w:t>method</w:t>
      </w:r>
      <w:proofErr w:type="gramEnd"/>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366A3F">
        <w:t xml:space="preserve"> </w:t>
      </w:r>
      <w:r>
        <w:t xml:space="preserve"> </w:t>
      </w:r>
      <w:r w:rsidR="00366A3F">
        <w:t xml:space="preserve">The adherents of the Constructivist approach </w:t>
      </w:r>
      <w:r w:rsidR="00366A3F">
        <w:lastRenderedPageBreak/>
        <w:t xml:space="preserve">would not only find this more deeply founded outcome would be desirable, they would suggest that getting to the same place by putting the student into a situation not unlike that they would face outside of the walls of academe would be even more likely to find applicability in the high stress combat environment.  </w:t>
      </w:r>
    </w:p>
    <w:p w:rsidR="003D41A9" w:rsidRDefault="003D41A9" w:rsidP="000438E0">
      <w:pPr>
        <w:jc w:val="both"/>
      </w:pPr>
    </w:p>
    <w:p w:rsidR="003D41A9" w:rsidRDefault="003D41A9" w:rsidP="000438E0">
      <w:pPr>
        <w:jc w:val="both"/>
      </w:pPr>
      <w:r>
        <w:t>If these approaches are known, one may ask why they are not being implemented.</w:t>
      </w:r>
      <w:r w:rsidR="00833992">
        <w:t xml:space="preserve"> There are hurdles that must be overcome for them to work.  These hurdles may be manifold, but they must be mastered. Without meaning to establish them in a formal way the following is intended to identify the major impediments to each of the three previously listed pedagogies.  Taking them in the order mentioned above, one of the major weaknesses of the Didactic method is its focus on the </w:t>
      </w:r>
      <w:proofErr w:type="spellStart"/>
      <w:r w:rsidR="00833992">
        <w:t>Didact</w:t>
      </w:r>
      <w:proofErr w:type="spellEnd"/>
      <w:r w:rsidR="00833992">
        <w:t xml:space="preserve"> and the isolation of the students from the life that awaits them.  A common complaint of iconoclastic educators like John Taylor </w:t>
      </w:r>
      <w:proofErr w:type="spellStart"/>
      <w:r w:rsidR="00833992">
        <w:t>Gatto</w:t>
      </w:r>
      <w:proofErr w:type="spellEnd"/>
      <w:r w:rsidR="00833992">
        <w:t xml:space="preserve"> have long held that any education system that relies on the students’ satisfying the teacher will fail in imparting any sense of applicability, hence immediacy in mastering the subject at hand.  </w:t>
      </w:r>
      <w:r w:rsidR="00F35D72">
        <w:t xml:space="preserve">The manifest failure of the writing across the curriculum movement in the US is strong evidence that that teaching a skill detached from a worthy goal will not obtain after the school bell rings.  The Socratic </w:t>
      </w:r>
      <w:proofErr w:type="gramStart"/>
      <w:r w:rsidR="00F35D72">
        <w:t>method</w:t>
      </w:r>
      <w:proofErr w:type="gramEnd"/>
      <w:r w:rsidR="00F35D72">
        <w:t xml:space="preserve"> avoids many of those pitfalls, but every top Law School in the country will attest to the difficulty of finding competent, let alone excellent, Socratic instructors.  The other issue is the small class size required to adequately implement this method, especially in the </w:t>
      </w:r>
      <w:proofErr w:type="gramStart"/>
      <w:r w:rsidR="00F35D72">
        <w:t>DoD</w:t>
      </w:r>
      <w:proofErr w:type="gramEnd"/>
      <w:r w:rsidR="00F35D72">
        <w:t xml:space="preserve">, with its hectic operations schedules and geographic dispersions.  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7A31A8" w:rsidRDefault="007A31A8" w:rsidP="000438E0">
      <w:pPr>
        <w:jc w:val="both"/>
      </w:pP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 xml:space="preserve">A major issue in this area is the lack of metrics.  </w:t>
      </w:r>
      <w:r w:rsidR="003D41A9">
        <w:t xml:space="preserve">Without metrics, it is difficult, if not impossible, to recognize whether innovative steps are having any impact. This is an extension of the lack of consensus as to what Critical Thinking means.   There are organizations that specialize in creating standards and psychometricians can </w:t>
      </w:r>
      <w:proofErr w:type="spellStart"/>
      <w:r w:rsidR="003D41A9">
        <w:t>developme</w:t>
      </w:r>
      <w:proofErr w:type="spellEnd"/>
      <w:r w:rsidR="003D41A9">
        <w:t xml:space="preserve"> tools, once they are given a set of parameters on which to </w:t>
      </w:r>
      <w:proofErr w:type="gramStart"/>
      <w:r w:rsidR="003D41A9">
        <w:t>evaluated</w:t>
      </w:r>
      <w:proofErr w:type="gramEnd"/>
      <w:r w:rsidR="003D41A9">
        <w:t xml:space="preserve"> their instruments, but a concerted effort is required to pierce the interdisciplinary barriers still found in the military and on the campuses.</w:t>
      </w:r>
    </w:p>
    <w:p w:rsidR="005D24D9" w:rsidRPr="005D24D9" w:rsidRDefault="005D24D9"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 xml:space="preserve">There is a large and growing capability in simulation, virtual humans, global communication, and computer agents.  All of these are highly probable solutions to the hurdles and constraints mentioned above.  Before the paper examines how, it would be appropriate to outline some of these technologies, both in </w:t>
      </w:r>
      <w:proofErr w:type="spellStart"/>
      <w:r>
        <w:t>trrms</w:t>
      </w:r>
      <w:proofErr w:type="spellEnd"/>
      <w:r>
        <w:t xml:space="preserve"> of where they are and where they are going.  </w:t>
      </w:r>
    </w:p>
    <w:p w:rsidR="0026778E" w:rsidRDefault="0026778E" w:rsidP="005D24D9">
      <w:pPr>
        <w:jc w:val="both"/>
      </w:pPr>
      <w:r>
        <w:t>Research</w:t>
      </w:r>
    </w:p>
    <w:p w:rsidR="0026778E" w:rsidRDefault="0026778E" w:rsidP="005D24D9">
      <w:pPr>
        <w:jc w:val="both"/>
      </w:pPr>
      <w:r>
        <w:t>Applications</w:t>
      </w:r>
    </w:p>
    <w:p w:rsidR="0026778E" w:rsidRDefault="0026778E" w:rsidP="005D24D9">
      <w:pPr>
        <w:jc w:val="both"/>
      </w:pPr>
      <w:r>
        <w:t>Results</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5D24D9" w:rsidRDefault="005D24D9" w:rsidP="005D24D9">
      <w:pPr>
        <w:pStyle w:val="Heading2"/>
      </w:pPr>
      <w:r>
        <w:t>Emerging Technologies</w:t>
      </w:r>
    </w:p>
    <w:p w:rsidR="005D24D9" w:rsidRDefault="005D24D9" w:rsidP="005D24D9">
      <w:pPr>
        <w:jc w:val="both"/>
      </w:pPr>
    </w:p>
    <w:p w:rsidR="00D55CFF" w:rsidRDefault="00D55CFF" w:rsidP="005D24D9">
      <w:pPr>
        <w:jc w:val="both"/>
      </w:pPr>
    </w:p>
    <w:p w:rsidR="00D55CFF" w:rsidRDefault="00D55CFF" w:rsidP="005D24D9">
      <w:pPr>
        <w:jc w:val="both"/>
      </w:pPr>
      <w:r>
        <w:t>Artificial Intelligence</w:t>
      </w:r>
    </w:p>
    <w:p w:rsidR="00D55CFF" w:rsidRDefault="00D55CFF" w:rsidP="005D24D9">
      <w:pPr>
        <w:jc w:val="both"/>
      </w:pPr>
      <w:r>
        <w:t>Deep learning</w:t>
      </w:r>
    </w:p>
    <w:p w:rsidR="00D55CFF" w:rsidRDefault="00D55CFF" w:rsidP="005D24D9">
      <w:pPr>
        <w:jc w:val="both"/>
      </w:pPr>
      <w:r>
        <w:t>Quantum annealing</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26778E" w:rsidRDefault="0026778E" w:rsidP="005D24D9">
      <w:pPr>
        <w:jc w:val="both"/>
      </w:pPr>
      <w:r>
        <w:t>New virtual conversations and MentorPal project</w:t>
      </w:r>
    </w:p>
    <w:p w:rsidR="0026778E" w:rsidRDefault="0026778E" w:rsidP="005D24D9">
      <w:pPr>
        <w:jc w:val="both"/>
      </w:pPr>
      <w:r>
        <w:t>Current achievements</w:t>
      </w:r>
    </w:p>
    <w:p w:rsidR="0026778E" w:rsidRDefault="0026778E" w:rsidP="005D24D9">
      <w:pPr>
        <w:jc w:val="both"/>
      </w:pPr>
      <w:r>
        <w:lastRenderedPageBreak/>
        <w:t>Next goals to be attacked</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26778E" w:rsidRDefault="0026778E" w:rsidP="005D24D9">
      <w:pPr>
        <w:jc w:val="both"/>
      </w:pPr>
      <w:r>
        <w:t>SimCoach</w:t>
      </w:r>
    </w:p>
    <w:p w:rsidR="0026778E" w:rsidRDefault="0026778E" w:rsidP="005D24D9">
      <w:pPr>
        <w:jc w:val="both"/>
      </w:pPr>
      <w:r>
        <w:t>New Dimensions in Testimony</w:t>
      </w:r>
    </w:p>
    <w:p w:rsidR="0026778E" w:rsidRDefault="0026778E" w:rsidP="005D24D9">
      <w:pPr>
        <w:jc w:val="both"/>
      </w:pPr>
      <w:r>
        <w:t>MentorPal</w:t>
      </w:r>
    </w:p>
    <w:p w:rsidR="0026778E" w:rsidRDefault="0026778E" w:rsidP="005D24D9">
      <w:pPr>
        <w:jc w:val="both"/>
      </w:pPr>
      <w:r>
        <w:t>Screen captures</w:t>
      </w:r>
    </w:p>
    <w:p w:rsidR="0026778E" w:rsidRDefault="0026778E" w:rsidP="005D24D9">
      <w:pPr>
        <w:jc w:val="both"/>
      </w:pPr>
      <w:r>
        <w:t>Data Table of user evaluations</w:t>
      </w:r>
    </w:p>
    <w:p w:rsidR="005D24D9" w:rsidRDefault="005D24D9" w:rsidP="005D24D9">
      <w:r>
        <w:t>Text</w:t>
      </w:r>
    </w:p>
    <w:p w:rsidR="005D24D9" w:rsidRDefault="005D24D9" w:rsidP="005D24D9"/>
    <w:p w:rsidR="005D24D9" w:rsidRDefault="005D24D9" w:rsidP="005D24D9">
      <w:pPr>
        <w:pStyle w:val="Heading1"/>
      </w:pPr>
      <w:r w:rsidRPr="00955532">
        <w:t>…</w:t>
      </w:r>
    </w:p>
    <w:p w:rsidR="005D24D9" w:rsidRDefault="005D24D9" w:rsidP="005D24D9"/>
    <w:p w:rsidR="005D24D9" w:rsidRDefault="005D24D9" w:rsidP="005D24D9">
      <w:pPr>
        <w:pStyle w:val="Heading2"/>
      </w:pPr>
      <w:r>
        <w:t>Extensibility</w:t>
      </w:r>
    </w:p>
    <w:p w:rsidR="005D24D9" w:rsidRDefault="005D24D9" w:rsidP="005D24D9">
      <w:pPr>
        <w:jc w:val="both"/>
      </w:pPr>
    </w:p>
    <w:p w:rsidR="0026778E" w:rsidRDefault="0026778E" w:rsidP="005D24D9">
      <w:pPr>
        <w:jc w:val="both"/>
      </w:pPr>
      <w:r>
        <w:t>Experience with extensibility</w:t>
      </w:r>
    </w:p>
    <w:p w:rsidR="0026778E" w:rsidRDefault="0026778E" w:rsidP="005D24D9">
      <w:pPr>
        <w:jc w:val="both"/>
      </w:pPr>
      <w:r>
        <w:t xml:space="preserve">Potential barriers </w:t>
      </w:r>
    </w:p>
    <w:p w:rsidR="005D24D9" w:rsidRDefault="005D24D9" w:rsidP="005D24D9">
      <w:r>
        <w:t>Text</w:t>
      </w:r>
    </w:p>
    <w:p w:rsidR="005D24D9" w:rsidRDefault="005D24D9" w:rsidP="005D24D9"/>
    <w:p w:rsidR="005D24D9" w:rsidRDefault="005D24D9" w:rsidP="005D24D9">
      <w:pPr>
        <w:pStyle w:val="Heading1"/>
      </w:pPr>
      <w:r w:rsidRPr="00955532">
        <w:t>…</w:t>
      </w:r>
    </w:p>
    <w:p w:rsidR="005D24D9" w:rsidRDefault="005D24D9" w:rsidP="005D24D9">
      <w:pPr>
        <w:pStyle w:val="Heading"/>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A61AAD" w:rsidP="005D24D9">
      <w:pPr>
        <w:jc w:val="both"/>
      </w:pPr>
      <w:r>
        <w:t>Difficulties in implementation</w:t>
      </w:r>
    </w:p>
    <w:p w:rsidR="00A61AAD" w:rsidRDefault="00A61AAD" w:rsidP="005D24D9">
      <w:pPr>
        <w:jc w:val="both"/>
      </w:pPr>
      <w:r>
        <w:t>Need for hero teachers</w:t>
      </w:r>
    </w:p>
    <w:p w:rsidR="00A61AAD" w:rsidRDefault="00A61AAD" w:rsidP="005D24D9">
      <w:pPr>
        <w:jc w:val="both"/>
      </w:pPr>
      <w:r>
        <w:t>Availability to address “teachable moment” in real time</w:t>
      </w:r>
    </w:p>
    <w:p w:rsidR="005D24D9" w:rsidRDefault="000F48FF" w:rsidP="005D24D9">
      <w:r>
        <w:t>Text</w:t>
      </w:r>
    </w:p>
    <w:p w:rsidR="005D24D9" w:rsidRDefault="005D24D9" w:rsidP="005D24D9">
      <w:pPr>
        <w:pStyle w:val="Heading1"/>
      </w:pPr>
      <w:r w:rsidRPr="00955532">
        <w:t>…</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A61AAD" w:rsidP="005D24D9">
      <w:pPr>
        <w:jc w:val="both"/>
      </w:pPr>
      <w:r>
        <w:t>Depth of understanding</w:t>
      </w:r>
    </w:p>
    <w:p w:rsidR="00A61AAD" w:rsidRDefault="00A61AAD" w:rsidP="005D24D9">
      <w:pPr>
        <w:jc w:val="both"/>
      </w:pPr>
      <w:r>
        <w:t xml:space="preserve">Retention of methodology </w:t>
      </w:r>
    </w:p>
    <w:p w:rsidR="00A61AAD" w:rsidRDefault="00A61AAD" w:rsidP="005D24D9">
      <w:pPr>
        <w:jc w:val="both"/>
      </w:pPr>
      <w:r>
        <w:t>Commitment to utilization</w:t>
      </w:r>
    </w:p>
    <w:p w:rsidR="00A61AAD" w:rsidRDefault="00A61AAD" w:rsidP="005D24D9">
      <w:pPr>
        <w:jc w:val="both"/>
      </w:pPr>
      <w:r>
        <w:t>Chart of Pedagogy vs issues and constraints</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A61AAD" w:rsidRDefault="00A61AAD" w:rsidP="005D24D9">
      <w:pPr>
        <w:jc w:val="both"/>
      </w:pPr>
      <w:r>
        <w:t>Design effort</w:t>
      </w:r>
    </w:p>
    <w:p w:rsidR="00A61AAD" w:rsidRDefault="00A61AAD" w:rsidP="005D24D9">
      <w:pPr>
        <w:jc w:val="both"/>
      </w:pPr>
      <w:r>
        <w:t xml:space="preserve">Coding effort </w:t>
      </w:r>
    </w:p>
    <w:p w:rsidR="00A61AAD" w:rsidRDefault="00A61AAD" w:rsidP="005D24D9">
      <w:pPr>
        <w:jc w:val="both"/>
      </w:pPr>
      <w:r>
        <w:t>VV&amp;T effort</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0F48FF" w:rsidRDefault="000F48FF" w:rsidP="000F48FF">
      <w:pPr>
        <w:pStyle w:val="Heading2"/>
      </w:pPr>
      <w:r>
        <w:t>Evaluation Processes</w:t>
      </w:r>
    </w:p>
    <w:p w:rsidR="000F48FF" w:rsidRDefault="000F48FF" w:rsidP="000F48FF">
      <w:pPr>
        <w:jc w:val="both"/>
      </w:pPr>
    </w:p>
    <w:p w:rsidR="00A61AAD" w:rsidRDefault="00A61AAD" w:rsidP="000F48FF">
      <w:pPr>
        <w:jc w:val="both"/>
      </w:pPr>
      <w:r>
        <w:t>Immediate outcomes</w:t>
      </w:r>
    </w:p>
    <w:p w:rsidR="00A61AAD" w:rsidRDefault="00A61AAD" w:rsidP="000F48FF">
      <w:pPr>
        <w:jc w:val="both"/>
      </w:pPr>
      <w:r>
        <w:lastRenderedPageBreak/>
        <w:t>Longitudinal studies</w:t>
      </w: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5D24D9" w:rsidRPr="005D24D9" w:rsidRDefault="005D24D9" w:rsidP="005D24D9"/>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A61AAD" w:rsidRDefault="00A61AAD" w:rsidP="000F48FF">
      <w:pPr>
        <w:jc w:val="both"/>
      </w:pPr>
      <w:r>
        <w:t>Applicability</w:t>
      </w:r>
    </w:p>
    <w:p w:rsidR="00A61AAD" w:rsidRDefault="00A61AAD" w:rsidP="000F48FF">
      <w:pPr>
        <w:jc w:val="both"/>
      </w:pPr>
      <w:proofErr w:type="gramStart"/>
      <w:r>
        <w:t>DoD</w:t>
      </w:r>
      <w:proofErr w:type="gramEnd"/>
      <w:r>
        <w:t xml:space="preserve"> Environment</w:t>
      </w:r>
      <w:r>
        <w:br/>
        <w:t>Scalability</w:t>
      </w: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0F48FF" w:rsidRDefault="000F48FF" w:rsidP="000F48FF">
      <w:pPr>
        <w:pStyle w:val="Heading2"/>
      </w:pPr>
      <w:r>
        <w:t>Potential Concerns</w:t>
      </w:r>
    </w:p>
    <w:p w:rsidR="000F48FF" w:rsidRDefault="000F48FF" w:rsidP="000F48FF">
      <w:pPr>
        <w:jc w:val="both"/>
      </w:pPr>
    </w:p>
    <w:p w:rsidR="00A61AAD" w:rsidRDefault="00A61AAD" w:rsidP="000F48FF">
      <w:pPr>
        <w:jc w:val="both"/>
      </w:pPr>
      <w:r>
        <w:t>Isolation</w:t>
      </w:r>
    </w:p>
    <w:p w:rsidR="00A61AAD" w:rsidRDefault="00A61AAD" w:rsidP="000F48FF">
      <w:pPr>
        <w:jc w:val="both"/>
      </w:pPr>
      <w:r>
        <w:t>Lack of team cohesion</w:t>
      </w:r>
    </w:p>
    <w:p w:rsidR="00A61AAD" w:rsidRDefault="00A61AAD" w:rsidP="000F48FF">
      <w:pPr>
        <w:jc w:val="both"/>
      </w:pPr>
      <w:r>
        <w:t>…???</w:t>
      </w: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5D24D9" w:rsidRDefault="005D24D9" w:rsidP="007A7795"/>
    <w:p w:rsidR="007A7795" w:rsidRDefault="007A7795" w:rsidP="007A7795"/>
    <w:p w:rsidR="007A7795" w:rsidRPr="00955532" w:rsidRDefault="007A7795" w:rsidP="007A7795">
      <w:pPr>
        <w:pStyle w:val="Heading1"/>
      </w:pPr>
      <w:r w:rsidRPr="00955532">
        <w:t>Conclusions</w:t>
      </w:r>
    </w:p>
    <w:p w:rsidR="007A7795" w:rsidRDefault="007A7795" w:rsidP="007A7795"/>
    <w:p w:rsidR="000F48FF" w:rsidRDefault="000F48FF" w:rsidP="000F48FF">
      <w:pPr>
        <w:pStyle w:val="Heading2"/>
      </w:pPr>
      <w:r>
        <w:t xml:space="preserve">Current Status </w:t>
      </w:r>
    </w:p>
    <w:p w:rsidR="00A61AAD" w:rsidRDefault="00A61AAD" w:rsidP="000F48FF">
      <w:pPr>
        <w:jc w:val="both"/>
      </w:pP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0F48FF" w:rsidRDefault="000F48FF" w:rsidP="000F48FF">
      <w:pPr>
        <w:pStyle w:val="Heading2"/>
      </w:pPr>
      <w:r>
        <w:t>Research Path for Future</w:t>
      </w:r>
    </w:p>
    <w:p w:rsidR="000F48FF" w:rsidRDefault="000F48FF" w:rsidP="000F48FF">
      <w:pPr>
        <w:jc w:val="both"/>
      </w:pP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7A7795">
      <w:r>
        <w:t>The authors would like to thank</w:t>
      </w:r>
    </w:p>
    <w:p w:rsidR="007A7795" w:rsidRDefault="000F48FF" w:rsidP="007A7795">
      <w:r>
        <w:t>USC team leaders</w:t>
      </w:r>
    </w:p>
    <w:p w:rsidR="000F48FF" w:rsidRDefault="000F48FF" w:rsidP="007A7795">
      <w:proofErr w:type="spellStart"/>
      <w:r>
        <w:t>Pedagogists</w:t>
      </w:r>
      <w:proofErr w:type="spellEnd"/>
    </w:p>
    <w:p w:rsidR="000F48FF" w:rsidRDefault="000F48FF" w:rsidP="007A7795">
      <w:r>
        <w:t>Funding source contract numbers</w:t>
      </w:r>
    </w:p>
    <w:p w:rsidR="000F48FF" w:rsidRDefault="000F48FF" w:rsidP="007A7795">
      <w:r>
        <w:t>Disclaimers (… statements</w:t>
      </w:r>
      <w:r w:rsidR="00D55CFF">
        <w:t xml:space="preserve"> and opinions</w:t>
      </w:r>
      <w:r>
        <w:t xml:space="preserve"> are the authors’ </w:t>
      </w:r>
      <w:r w:rsidR="00D55CFF">
        <w:t>alone</w:t>
      </w:r>
      <w:r>
        <w:t xml:space="preserve"> …)</w:t>
      </w:r>
    </w:p>
    <w:p w:rsidR="007A7795" w:rsidRDefault="007A7795" w:rsidP="007A7795"/>
    <w:p w:rsidR="007A7795" w:rsidRPr="00955532" w:rsidRDefault="007A7795" w:rsidP="007A7795">
      <w:pPr>
        <w:pStyle w:val="Heading1"/>
      </w:pPr>
      <w:r w:rsidRPr="00955532">
        <w:t>References</w:t>
      </w:r>
    </w:p>
    <w:p w:rsidR="007A7795" w:rsidRDefault="007A7795" w:rsidP="007A7795"/>
    <w:p w:rsidR="00B03C93" w:rsidRDefault="00B03C93" w:rsidP="00B211F8">
      <w:pPr>
        <w:pStyle w:val="Refs-SIW"/>
        <w:keepLines/>
        <w:numPr>
          <w:ilvl w:val="0"/>
          <w:numId w:val="0"/>
        </w:numPr>
        <w:ind w:left="374" w:right="360" w:hanging="187"/>
      </w:pPr>
      <w:proofErr w:type="gramStart"/>
      <w:r>
        <w:t xml:space="preserve">Clausewitz, von, C., (1832, re-pub 2007) </w:t>
      </w:r>
      <w:r>
        <w:rPr>
          <w:i/>
        </w:rPr>
        <w:t>On War</w:t>
      </w:r>
      <w:r>
        <w:t>, Create Space, New York, New York.</w:t>
      </w:r>
      <w:proofErr w:type="gramEnd"/>
    </w:p>
    <w:p w:rsidR="00B03C93" w:rsidRDefault="00B03C93" w:rsidP="00B211F8">
      <w:pPr>
        <w:pStyle w:val="Refs-SIW"/>
        <w:keepLines/>
        <w:numPr>
          <w:ilvl w:val="0"/>
          <w:numId w:val="0"/>
        </w:numPr>
        <w:ind w:left="374" w:right="360" w:hanging="187"/>
      </w:pPr>
    </w:p>
    <w:p w:rsidR="00B03C93" w:rsidRDefault="00B03C93" w:rsidP="00B211F8">
      <w:pPr>
        <w:pStyle w:val="Refs-SIW"/>
        <w:keepLines/>
        <w:numPr>
          <w:ilvl w:val="0"/>
          <w:numId w:val="0"/>
        </w:numPr>
        <w:ind w:left="374" w:right="360" w:hanging="187"/>
      </w:pPr>
      <w:proofErr w:type="spellStart"/>
      <w:r>
        <w:t>Danchev</w:t>
      </w:r>
      <w:proofErr w:type="spellEnd"/>
      <w:r>
        <w:t xml:space="preserve">, A., (1998). </w:t>
      </w:r>
      <w:r>
        <w:rPr>
          <w:i/>
        </w:rPr>
        <w:t>Alchemist of War: The Life of Basil Liddell Hart</w:t>
      </w:r>
      <w:r>
        <w:t>. Nicholson Harper Collins Publishers London</w:t>
      </w:r>
    </w:p>
    <w:p w:rsidR="00B03C93" w:rsidRDefault="00B03C93" w:rsidP="00B211F8">
      <w:pPr>
        <w:pStyle w:val="Refs-SIW"/>
        <w:keepLines/>
        <w:numPr>
          <w:ilvl w:val="0"/>
          <w:numId w:val="0"/>
        </w:numPr>
        <w:ind w:left="374" w:right="360" w:hanging="187"/>
      </w:pPr>
    </w:p>
    <w:p w:rsidR="00B03C93" w:rsidRDefault="00B03C93" w:rsidP="00B211F8">
      <w:pPr>
        <w:keepLines/>
        <w:ind w:left="374" w:right="180" w:hanging="187"/>
      </w:pPr>
      <w:r>
        <w:lastRenderedPageBreak/>
        <w:t>Dewey, J.,</w:t>
      </w:r>
      <w:r w:rsidRPr="007B2345">
        <w:t xml:space="preserve"> (</w:t>
      </w:r>
      <w:r>
        <w:t>1910</w:t>
      </w:r>
      <w:r w:rsidRPr="007B2345">
        <w:t xml:space="preserve">). </w:t>
      </w:r>
      <w:r w:rsidRPr="007B2345">
        <w:rPr>
          <w:i/>
        </w:rPr>
        <w:t>How we think.</w:t>
      </w:r>
      <w:r w:rsidRPr="007B2345">
        <w:t xml:space="preserve"> </w:t>
      </w:r>
      <w:r>
        <w:t xml:space="preserve">D.C. Heath and Company. Lexington, MA.  </w:t>
      </w:r>
      <w:proofErr w:type="gramStart"/>
      <w:r>
        <w:t>p 95.</w:t>
      </w:r>
      <w:proofErr w:type="gramEnd"/>
    </w:p>
    <w:p w:rsidR="00B03C93" w:rsidRDefault="00B03C93" w:rsidP="00B211F8">
      <w:pPr>
        <w:keepLines/>
        <w:ind w:left="374" w:right="180" w:hanging="187"/>
      </w:pPr>
    </w:p>
    <w:p w:rsidR="00096BE4" w:rsidRDefault="00695623" w:rsidP="00B211F8">
      <w:pPr>
        <w:keepLines/>
        <w:ind w:left="374" w:right="180" w:hanging="187"/>
      </w:pPr>
      <w:proofErr w:type="gramStart"/>
      <w:r>
        <w:t>Edwards, M. (2019).</w:t>
      </w:r>
      <w:proofErr w:type="gramEnd"/>
      <w:r>
        <w:t xml:space="preserve"> </w:t>
      </w:r>
      <w:proofErr w:type="gramStart"/>
      <w:r>
        <w:rPr>
          <w:i/>
          <w:iCs/>
        </w:rPr>
        <w:t>High School Teachers' Perceptions of Developing Critical Thinkers via the Socratic Method</w:t>
      </w:r>
      <w:r>
        <w:t xml:space="preserve"> (Doctoral dissertation, Walden University).</w:t>
      </w:r>
      <w:proofErr w:type="gramEnd"/>
    </w:p>
    <w:p w:rsidR="00096BE4" w:rsidRDefault="00096BE4" w:rsidP="00B211F8">
      <w:pPr>
        <w:keepLines/>
        <w:ind w:left="374" w:right="180" w:hanging="187"/>
      </w:pPr>
    </w:p>
    <w:p w:rsidR="00B03C93" w:rsidRDefault="00B03C93" w:rsidP="00B211F8">
      <w:pPr>
        <w:pStyle w:val="Refs-SIW"/>
        <w:keepLines/>
        <w:numPr>
          <w:ilvl w:val="0"/>
          <w:numId w:val="0"/>
        </w:numPr>
        <w:ind w:left="374" w:right="360" w:hanging="187"/>
      </w:pPr>
      <w:r>
        <w:t xml:space="preserve">Flavell, J. H. (1979). Metacognition and cognitive monitoring: A new area of cognitive-developmental inquiry. </w:t>
      </w:r>
      <w:r>
        <w:rPr>
          <w:i/>
        </w:rPr>
        <w:t>American Psychologist</w:t>
      </w:r>
      <w:r>
        <w:t>, v34 n10 p906-</w:t>
      </w:r>
      <w:proofErr w:type="gramStart"/>
      <w:r>
        <w:t>11 .</w:t>
      </w:r>
      <w:proofErr w:type="gramEnd"/>
    </w:p>
    <w:p w:rsidR="00B03C93" w:rsidRDefault="00B03C93" w:rsidP="00B211F8">
      <w:pPr>
        <w:pStyle w:val="Refs-SIW"/>
        <w:keepLines/>
        <w:numPr>
          <w:ilvl w:val="0"/>
          <w:numId w:val="0"/>
        </w:numPr>
        <w:ind w:left="374" w:right="360" w:hanging="187"/>
      </w:pPr>
    </w:p>
    <w:p w:rsidR="00B03C93" w:rsidRDefault="00B03C93" w:rsidP="00B211F8">
      <w:pPr>
        <w:pStyle w:val="Refs-SIW"/>
        <w:keepLines/>
        <w:numPr>
          <w:ilvl w:val="0"/>
          <w:numId w:val="0"/>
        </w:numPr>
        <w:ind w:left="374" w:right="360" w:hanging="187"/>
      </w:pPr>
      <w:r>
        <w:t xml:space="preserve">Mahan, A.T., (1890. </w:t>
      </w:r>
      <w:r>
        <w:rPr>
          <w:i/>
        </w:rPr>
        <w:t xml:space="preserve">The Influence of Sea Power </w:t>
      </w:r>
      <w:proofErr w:type="gramStart"/>
      <w:r>
        <w:rPr>
          <w:i/>
        </w:rPr>
        <w:t>Upon</w:t>
      </w:r>
      <w:proofErr w:type="gramEnd"/>
      <w:r>
        <w:rPr>
          <w:i/>
        </w:rPr>
        <w:t xml:space="preserve"> History, 1660-1783</w:t>
      </w:r>
      <w:r>
        <w:t>. Little Brown and Company, Boston, Massachusetts</w:t>
      </w:r>
    </w:p>
    <w:p w:rsidR="004A61A8" w:rsidRDefault="004A61A8" w:rsidP="00B211F8">
      <w:pPr>
        <w:pStyle w:val="Refs-SIW"/>
        <w:keepLines/>
        <w:numPr>
          <w:ilvl w:val="0"/>
          <w:numId w:val="0"/>
        </w:numPr>
        <w:ind w:left="374" w:right="360" w:hanging="187"/>
      </w:pPr>
    </w:p>
    <w:p w:rsidR="004A61A8" w:rsidRDefault="004A61A8" w:rsidP="00B211F8">
      <w:pPr>
        <w:pStyle w:val="Refs-SIW"/>
        <w:keepLines/>
        <w:numPr>
          <w:ilvl w:val="0"/>
          <w:numId w:val="0"/>
        </w:numPr>
        <w:ind w:left="374" w:right="360" w:hanging="187"/>
      </w:pPr>
      <w:proofErr w:type="gramStart"/>
      <w:r>
        <w:t>Mathematics Educator, (2020).</w:t>
      </w:r>
      <w:proofErr w:type="gramEnd"/>
      <w:r>
        <w:t xml:space="preserve"> Is Metacognition ever bad</w:t>
      </w:r>
      <w:proofErr w:type="gramStart"/>
      <w:r>
        <w:t>?.</w:t>
      </w:r>
      <w:proofErr w:type="gramEnd"/>
      <w:r>
        <w:t xml:space="preserve"> </w:t>
      </w:r>
      <w:proofErr w:type="gramStart"/>
      <w:r>
        <w:t xml:space="preserve">Retrieved on 22 March 2020 from: </w:t>
      </w:r>
      <w:r w:rsidRPr="004A61A8">
        <w:t>https://matheducators.stackexchange.com/questions/10939/is-metacognition-ever-bad</w:t>
      </w:r>
      <w:r>
        <w:t>.</w:t>
      </w:r>
      <w:proofErr w:type="gramEnd"/>
      <w:r>
        <w:t xml:space="preserve"> </w:t>
      </w:r>
    </w:p>
    <w:p w:rsidR="00B03C93" w:rsidRDefault="00B03C93" w:rsidP="00B211F8">
      <w:pPr>
        <w:pStyle w:val="Refs-SIW"/>
        <w:keepLines/>
        <w:numPr>
          <w:ilvl w:val="0"/>
          <w:numId w:val="0"/>
        </w:numPr>
        <w:ind w:left="374" w:right="360" w:hanging="187"/>
      </w:pPr>
    </w:p>
    <w:p w:rsidR="00B03C93" w:rsidRDefault="00B03C93" w:rsidP="00B211F8">
      <w:pPr>
        <w:keepLines/>
        <w:ind w:left="374" w:right="180" w:hanging="187"/>
      </w:pPr>
      <w:proofErr w:type="spellStart"/>
      <w:proofErr w:type="gramStart"/>
      <w:r>
        <w:t>Ng'ambi</w:t>
      </w:r>
      <w:proofErr w:type="spellEnd"/>
      <w:r>
        <w:t>, D., &amp; Johnston, K. (2006).</w:t>
      </w:r>
      <w:proofErr w:type="gramEnd"/>
      <w:r>
        <w:t xml:space="preserve"> An ICT-mediated Constructivist Approach for increasing academic support and teaching critical thinking skills. </w:t>
      </w:r>
      <w:r>
        <w:rPr>
          <w:i/>
          <w:iCs/>
        </w:rPr>
        <w:t>Educational Technology &amp; Society</w:t>
      </w:r>
      <w:r>
        <w:t xml:space="preserve">, </w:t>
      </w:r>
      <w:r>
        <w:rPr>
          <w:i/>
          <w:iCs/>
        </w:rPr>
        <w:t>9</w:t>
      </w:r>
      <w:r>
        <w:t>(3), 244-253.</w:t>
      </w:r>
    </w:p>
    <w:p w:rsidR="00B211F8" w:rsidRDefault="00B211F8" w:rsidP="00B211F8">
      <w:pPr>
        <w:keepLines/>
        <w:ind w:left="374" w:right="180" w:hanging="187"/>
      </w:pPr>
    </w:p>
    <w:p w:rsidR="00B211F8" w:rsidRDefault="00B211F8" w:rsidP="00B211F8">
      <w:pPr>
        <w:keepLines/>
        <w:ind w:left="374" w:right="180" w:hanging="187"/>
      </w:pPr>
    </w:p>
    <w:p w:rsidR="00B03C93" w:rsidRDefault="00B211F8" w:rsidP="00B211F8">
      <w:pPr>
        <w:keepLines/>
        <w:ind w:left="374" w:right="180" w:hanging="187"/>
      </w:pPr>
      <w:proofErr w:type="spellStart"/>
      <w:proofErr w:type="gramStart"/>
      <w:r>
        <w:t>Noy</w:t>
      </w:r>
      <w:proofErr w:type="spellEnd"/>
      <w:r>
        <w:t>, C. (2008).</w:t>
      </w:r>
      <w:proofErr w:type="gramEnd"/>
      <w:r>
        <w:t xml:space="preserve"> </w:t>
      </w:r>
      <w:proofErr w:type="gramStart"/>
      <w:r>
        <w:t>Sampling knowledge: The hermeneutics of snowball sampling in qualitative research.</w:t>
      </w:r>
      <w:proofErr w:type="gramEnd"/>
      <w:r>
        <w:t xml:space="preserve"> </w:t>
      </w:r>
      <w:r>
        <w:rPr>
          <w:i/>
          <w:iCs/>
        </w:rPr>
        <w:t>International Journal of social research methodology</w:t>
      </w:r>
      <w:r>
        <w:t xml:space="preserve">, </w:t>
      </w:r>
      <w:r>
        <w:rPr>
          <w:i/>
          <w:iCs/>
        </w:rPr>
        <w:t>11</w:t>
      </w:r>
      <w:r>
        <w:t>(4), 327-344.</w:t>
      </w:r>
    </w:p>
    <w:p w:rsidR="00B03C93" w:rsidRDefault="00B03C93" w:rsidP="00B211F8">
      <w:pPr>
        <w:keepLines/>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 xml:space="preserve">eal -Life STEM Professionals." </w:t>
      </w:r>
      <w:proofErr w:type="gramStart"/>
      <w:r>
        <w:t>I</w:t>
      </w:r>
      <w:r w:rsidRPr="001E687B">
        <w:t xml:space="preserve">n the </w:t>
      </w:r>
      <w:r w:rsidRPr="00DC221F">
        <w:rPr>
          <w:i/>
        </w:rPr>
        <w:t>Proceedings of the Interservice/Industry Simulation, Training and Education Conference</w:t>
      </w:r>
      <w:r>
        <w:t>.</w:t>
      </w:r>
      <w:proofErr w:type="gramEnd"/>
      <w:r w:rsidRPr="00DC221F">
        <w:t xml:space="preserve"> </w:t>
      </w:r>
      <w:r w:rsidRPr="001E687B">
        <w:t>2017.</w:t>
      </w:r>
    </w:p>
    <w:p w:rsidR="00B03C93" w:rsidRDefault="00B03C93" w:rsidP="00B211F8">
      <w:pPr>
        <w:keepLines/>
        <w:ind w:left="374" w:right="180" w:hanging="187"/>
      </w:pPr>
    </w:p>
    <w:p w:rsidR="00B03C93" w:rsidRDefault="00B03C93" w:rsidP="00B211F8">
      <w:pPr>
        <w:keepLines/>
        <w:ind w:left="374" w:right="180" w:hanging="187"/>
      </w:pPr>
      <w:proofErr w:type="gramStart"/>
      <w:r>
        <w:t>Paul, R., Elder, L., &amp; Bartell, T. (1997).</w:t>
      </w:r>
      <w:proofErr w:type="gramEnd"/>
      <w:r>
        <w:t xml:space="preserve"> </w:t>
      </w:r>
      <w:proofErr w:type="gramStart"/>
      <w:r>
        <w:t xml:space="preserve">A </w:t>
      </w:r>
      <w:r w:rsidRPr="00861E0A">
        <w:rPr>
          <w:i/>
        </w:rPr>
        <w:t>brief history of the idea of critical thinking.</w:t>
      </w:r>
      <w:proofErr w:type="gramEnd"/>
      <w:r>
        <w:t xml:space="preserve"> </w:t>
      </w:r>
      <w:r w:rsidRPr="00861E0A">
        <w:rPr>
          <w:iCs/>
        </w:rPr>
        <w:t>Retrieved July</w:t>
      </w:r>
      <w:r w:rsidRPr="00861E0A">
        <w:t xml:space="preserve">, </w:t>
      </w:r>
      <w:r w:rsidRPr="00861E0A">
        <w:rPr>
          <w:iCs/>
        </w:rPr>
        <w:t>2020 from</w:t>
      </w:r>
      <w:r w:rsidRPr="00861E0A">
        <w:t xml:space="preserve"> </w:t>
      </w:r>
      <w:r w:rsidRPr="00861E0A">
        <w:rPr>
          <w:iCs/>
        </w:rPr>
        <w:t>https://wisconsinhistory.org/turningpoints/pdfs/workshophandbook.pdf</w:t>
      </w:r>
    </w:p>
    <w:p w:rsidR="00B03C93" w:rsidRDefault="00B03C93" w:rsidP="00B211F8">
      <w:pPr>
        <w:keepLines/>
        <w:ind w:left="374" w:right="180" w:hanging="187"/>
      </w:pPr>
    </w:p>
    <w:p w:rsidR="00466670" w:rsidRDefault="00466670" w:rsidP="00B211F8">
      <w:pPr>
        <w:pStyle w:val="Refs-SIW"/>
        <w:keepLines/>
        <w:numPr>
          <w:ilvl w:val="0"/>
          <w:numId w:val="0"/>
        </w:numPr>
        <w:ind w:left="374" w:right="360" w:hanging="187"/>
      </w:pPr>
      <w:proofErr w:type="gramStart"/>
      <w:r>
        <w:t>Romainville, M. (1994).</w:t>
      </w:r>
      <w:proofErr w:type="gramEnd"/>
      <w:r>
        <w:t xml:space="preserve">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466670" w:rsidRDefault="00466670" w:rsidP="00B211F8">
      <w:pPr>
        <w:pStyle w:val="Refs-SIW"/>
        <w:keepLines/>
        <w:numPr>
          <w:ilvl w:val="0"/>
          <w:numId w:val="0"/>
        </w:numPr>
        <w:ind w:left="374" w:right="360" w:hanging="187"/>
      </w:pPr>
    </w:p>
    <w:p w:rsidR="00B03C93" w:rsidRDefault="00B03C93" w:rsidP="00B211F8">
      <w:pPr>
        <w:pStyle w:val="Refs-SIW"/>
        <w:keepLines/>
        <w:numPr>
          <w:ilvl w:val="0"/>
          <w:numId w:val="0"/>
        </w:numPr>
        <w:ind w:left="374" w:right="360" w:hanging="187"/>
      </w:pPr>
      <w:r>
        <w:t xml:space="preserve">Scales, R.H., (1976). </w:t>
      </w:r>
      <w:proofErr w:type="gramStart"/>
      <w:r>
        <w:rPr>
          <w:i/>
        </w:rPr>
        <w:t>Artillery in Small Wars, the Evolution of British Artillery Doctrine, 1860-1914</w:t>
      </w:r>
      <w:r>
        <w:t>, (Doctoral dissertation, Duke University, 1976).</w:t>
      </w:r>
      <w:proofErr w:type="gramEnd"/>
      <w:r>
        <w:t xml:space="preserve"> </w:t>
      </w:r>
      <w:proofErr w:type="spellStart"/>
      <w:proofErr w:type="gramStart"/>
      <w:r>
        <w:t>ProQuest</w:t>
      </w:r>
      <w:proofErr w:type="spellEnd"/>
      <w:r>
        <w:t>.</w:t>
      </w:r>
      <w:proofErr w:type="gramEnd"/>
    </w:p>
    <w:p w:rsidR="00B03C93" w:rsidRDefault="00B03C93" w:rsidP="00B211F8">
      <w:pPr>
        <w:pStyle w:val="Refs-SIW"/>
        <w:keepLines/>
        <w:numPr>
          <w:ilvl w:val="0"/>
          <w:numId w:val="0"/>
        </w:numPr>
        <w:ind w:left="374" w:right="360" w:hanging="187"/>
      </w:pPr>
    </w:p>
    <w:p w:rsidR="00B03C93" w:rsidRDefault="00B03C93" w:rsidP="00B211F8">
      <w:pPr>
        <w:pStyle w:val="Refs-SIW"/>
        <w:keepLines/>
        <w:numPr>
          <w:ilvl w:val="0"/>
          <w:numId w:val="0"/>
        </w:numPr>
        <w:ind w:left="374" w:right="360" w:hanging="187"/>
      </w:pPr>
      <w:proofErr w:type="gramStart"/>
      <w:r>
        <w:t>Shakespeare, W. (1599).</w:t>
      </w:r>
      <w:proofErr w:type="gramEnd"/>
      <w:r>
        <w:t xml:space="preserve"> </w:t>
      </w:r>
      <w:proofErr w:type="gramStart"/>
      <w:r>
        <w:rPr>
          <w:i/>
        </w:rPr>
        <w:t>The Chronicle History of Henry the Fifth</w:t>
      </w:r>
      <w:r>
        <w:t>.</w:t>
      </w:r>
      <w:proofErr w:type="gramEnd"/>
      <w:r>
        <w:t xml:space="preserve"> Act III, Scene II, Lines 1187 -1264, Retrieved on 10 July 2001 from </w:t>
      </w:r>
      <w:r w:rsidRPr="00DD5F06">
        <w:t>http://shakespeare.mit.edu/henryv/</w:t>
      </w:r>
      <w:proofErr w:type="gramStart"/>
      <w:r w:rsidRPr="00DD5F06">
        <w:t>full.html</w:t>
      </w:r>
      <w:r>
        <w:t xml:space="preserve"> </w:t>
      </w:r>
      <w:r w:rsidR="00FE0519">
        <w:t>.</w:t>
      </w:r>
      <w:proofErr w:type="gramEnd"/>
    </w:p>
    <w:p w:rsidR="004F20EF" w:rsidRDefault="004F20EF" w:rsidP="00B211F8">
      <w:pPr>
        <w:pStyle w:val="Refs-SIW"/>
        <w:keepLines/>
        <w:numPr>
          <w:ilvl w:val="0"/>
          <w:numId w:val="0"/>
        </w:numPr>
        <w:ind w:left="374" w:right="360" w:hanging="187"/>
      </w:pPr>
    </w:p>
    <w:p w:rsidR="004F20EF" w:rsidRDefault="0017209F" w:rsidP="00B211F8">
      <w:pPr>
        <w:pStyle w:val="Refs-SIW"/>
        <w:keepLines/>
        <w:numPr>
          <w:ilvl w:val="0"/>
          <w:numId w:val="0"/>
        </w:numPr>
        <w:ind w:left="374" w:right="360" w:hanging="187"/>
      </w:pPr>
      <w:r>
        <w:t>Stewart, P (1964</w:t>
      </w:r>
      <w:r w:rsidR="004F20EF">
        <w:t xml:space="preserve">). Found in: </w:t>
      </w:r>
      <w:r w:rsidR="004F20EF" w:rsidRPr="0017209F">
        <w:rPr>
          <w:i/>
        </w:rPr>
        <w:t>378 U.S.</w:t>
      </w:r>
      <w:r w:rsidR="004F20EF" w:rsidRPr="0017209F">
        <w:t xml:space="preserve"> at 197</w:t>
      </w:r>
      <w:r w:rsidR="004F20EF" w:rsidRPr="004F20EF">
        <w:t xml:space="preserve"> (Stewart, J., concurring)</w:t>
      </w:r>
      <w:r>
        <w:t>, US Supreme Court Decisions.</w:t>
      </w:r>
    </w:p>
    <w:p w:rsidR="00FE0519" w:rsidRDefault="00FE0519" w:rsidP="00B211F8">
      <w:pPr>
        <w:pStyle w:val="Refs-SIW"/>
        <w:keepLines/>
        <w:numPr>
          <w:ilvl w:val="0"/>
          <w:numId w:val="0"/>
        </w:numPr>
        <w:ind w:left="374" w:right="360" w:hanging="187"/>
      </w:pPr>
    </w:p>
    <w:p w:rsidR="00FE0519" w:rsidRDefault="00FE0519" w:rsidP="00B211F8">
      <w:pPr>
        <w:pStyle w:val="Refs-SIW"/>
        <w:keepLines/>
        <w:numPr>
          <w:ilvl w:val="0"/>
          <w:numId w:val="0"/>
        </w:numPr>
        <w:ind w:left="374" w:right="360" w:hanging="187"/>
      </w:pPr>
      <w:proofErr w:type="gramStart"/>
      <w:r>
        <w:t>Tetlock, P. E., &amp; Gardner, D. (2016).</w:t>
      </w:r>
      <w:proofErr w:type="gramEnd"/>
      <w:r>
        <w:t xml:space="preserve"> </w:t>
      </w:r>
      <w:r>
        <w:rPr>
          <w:i/>
          <w:iCs/>
        </w:rPr>
        <w:t>Superforecasting: The art and science of prediction</w:t>
      </w:r>
      <w:r>
        <w:t xml:space="preserve">. </w:t>
      </w:r>
      <w:proofErr w:type="gramStart"/>
      <w:r>
        <w:t>Random House.</w:t>
      </w:r>
      <w:proofErr w:type="gramEnd"/>
    </w:p>
    <w:p w:rsidR="00DD5F06" w:rsidRDefault="00DD5F06" w:rsidP="00B211F8">
      <w:pPr>
        <w:pStyle w:val="Refs-SIW"/>
        <w:keepLines/>
        <w:numPr>
          <w:ilvl w:val="0"/>
          <w:numId w:val="0"/>
        </w:numPr>
        <w:ind w:left="374" w:right="360" w:hanging="187"/>
      </w:pPr>
    </w:p>
    <w:p w:rsidR="00DD5F06" w:rsidRDefault="00DD5F06" w:rsidP="00B211F8">
      <w:pPr>
        <w:pStyle w:val="Refs-SIW"/>
        <w:keepLines/>
        <w:numPr>
          <w:ilvl w:val="0"/>
          <w:numId w:val="0"/>
        </w:numPr>
        <w:ind w:left="374" w:right="360" w:hanging="187"/>
      </w:pPr>
      <w:r>
        <w:t>Tolstoy, L. (20</w:t>
      </w:r>
      <w:r w:rsidR="004A61A8">
        <w:t>08</w:t>
      </w:r>
      <w:r>
        <w:t xml:space="preserve">). </w:t>
      </w:r>
      <w:proofErr w:type="gramStart"/>
      <w:r>
        <w:rPr>
          <w:i/>
          <w:iCs/>
        </w:rPr>
        <w:t>War and peace</w:t>
      </w:r>
      <w:r>
        <w:t>.</w:t>
      </w:r>
      <w:proofErr w:type="gramEnd"/>
      <w:r>
        <w:t xml:space="preserve"> </w:t>
      </w:r>
      <w:proofErr w:type="gramStart"/>
      <w:r w:rsidR="004A61A8">
        <w:t>Vintage Classics, New York, New York.</w:t>
      </w:r>
      <w:proofErr w:type="gramEnd"/>
      <w:r w:rsidR="004A61A8">
        <w:t xml:space="preserve"> </w:t>
      </w:r>
      <w:proofErr w:type="gramStart"/>
      <w:r w:rsidR="004A61A8">
        <w:t>First published in 1869.</w:t>
      </w:r>
      <w:proofErr w:type="gramEnd"/>
    </w:p>
    <w:p w:rsidR="00B03C93" w:rsidRDefault="00B03C93" w:rsidP="00B211F8">
      <w:pPr>
        <w:pStyle w:val="Refs-SIW"/>
        <w:keepLines/>
        <w:numPr>
          <w:ilvl w:val="0"/>
          <w:numId w:val="0"/>
        </w:numPr>
        <w:ind w:left="374" w:right="360" w:hanging="187"/>
      </w:pPr>
    </w:p>
    <w:p w:rsidR="00B03C93" w:rsidRDefault="00B03C93" w:rsidP="00B211F8">
      <w:pPr>
        <w:keepLines/>
        <w:ind w:left="374" w:right="180" w:hanging="187"/>
      </w:pPr>
      <w:proofErr w:type="spellStart"/>
      <w:proofErr w:type="gramStart"/>
      <w:r w:rsidRPr="006725F6">
        <w:t>Visser</w:t>
      </w:r>
      <w:proofErr w:type="spellEnd"/>
      <w:r w:rsidRPr="006725F6">
        <w:t xml:space="preserve">, Jan; </w:t>
      </w:r>
      <w:proofErr w:type="spellStart"/>
      <w:r w:rsidRPr="006725F6">
        <w:t>Visser</w:t>
      </w:r>
      <w:proofErr w:type="spellEnd"/>
      <w:r w:rsidRPr="006725F6">
        <w:t>, Muriel (2019).</w:t>
      </w:r>
      <w:proofErr w:type="gramEnd"/>
      <w:r w:rsidRPr="006725F6">
        <w:t xml:space="preserve"> </w:t>
      </w:r>
      <w:proofErr w:type="gramStart"/>
      <w:r w:rsidRPr="006725F6">
        <w:t xml:space="preserve">Seeking </w:t>
      </w:r>
      <w:r w:rsidRPr="006725F6">
        <w:rPr>
          <w:i/>
        </w:rPr>
        <w:t>Understanding: The Lifelong Pursuit to Build the Scientific Mind</w:t>
      </w:r>
      <w:r w:rsidRPr="006725F6">
        <w:t>.</w:t>
      </w:r>
      <w:proofErr w:type="gramEnd"/>
      <w:r w:rsidRPr="006725F6">
        <w:t xml:space="preserve"> Leiden: BRILL.</w:t>
      </w:r>
    </w:p>
    <w:p w:rsidR="004E7758" w:rsidRDefault="004E7758" w:rsidP="00B211F8">
      <w:pPr>
        <w:keepLines/>
        <w:ind w:left="374" w:right="180" w:hanging="187"/>
      </w:pPr>
    </w:p>
    <w:p w:rsidR="004E7758" w:rsidRDefault="004E7758" w:rsidP="00B211F8">
      <w:pPr>
        <w:keepLines/>
        <w:ind w:left="374" w:right="180" w:hanging="187"/>
      </w:pPr>
      <w:proofErr w:type="spellStart"/>
      <w:proofErr w:type="gramStart"/>
      <w:r>
        <w:t>Wiktionary</w:t>
      </w:r>
      <w:proofErr w:type="spellEnd"/>
      <w:r>
        <w:t>, (2020).</w:t>
      </w:r>
      <w:proofErr w:type="gramEnd"/>
      <w:r>
        <w:t xml:space="preserve"> </w:t>
      </w:r>
      <w:proofErr w:type="gramStart"/>
      <w:r w:rsidRPr="004E7758">
        <w:rPr>
          <w:i/>
        </w:rPr>
        <w:t>Critical thinking</w:t>
      </w:r>
      <w:r>
        <w:t>.</w:t>
      </w:r>
      <w:proofErr w:type="gramEnd"/>
      <w:r>
        <w:t xml:space="preserve">  </w:t>
      </w:r>
      <w:proofErr w:type="gramStart"/>
      <w:r>
        <w:t xml:space="preserve">Retrieved on 18 April 2020 from: </w:t>
      </w:r>
      <w:r w:rsidRPr="004E7758">
        <w:t>https://en.wiktionary.org/wiki/critical_thinking</w:t>
      </w:r>
      <w:r>
        <w:t>.</w:t>
      </w:r>
      <w:proofErr w:type="gramEnd"/>
    </w:p>
    <w:p w:rsidR="00B03C93" w:rsidRDefault="00B03C93" w:rsidP="00B211F8">
      <w:pPr>
        <w:keepLines/>
        <w:ind w:left="374" w:right="180" w:hanging="187"/>
      </w:pPr>
    </w:p>
    <w:p w:rsidR="00B03C93" w:rsidRDefault="00B03C93" w:rsidP="00B211F8">
      <w:pPr>
        <w:keepLines/>
        <w:ind w:left="374" w:right="180" w:hanging="187"/>
      </w:pPr>
      <w:proofErr w:type="gramStart"/>
      <w:r>
        <w:t>Withers, C. W. (2008).</w:t>
      </w:r>
      <w:proofErr w:type="gramEnd"/>
      <w:r>
        <w:t xml:space="preserve"> </w:t>
      </w:r>
      <w:r>
        <w:rPr>
          <w:i/>
          <w:iCs/>
        </w:rPr>
        <w:t>Placing the Enlightenment: thinking geographically about the age of reason</w:t>
      </w:r>
      <w:r>
        <w:t xml:space="preserve">. </w:t>
      </w:r>
      <w:proofErr w:type="gramStart"/>
      <w:r>
        <w:t>University of Chicago Press.</w:t>
      </w:r>
      <w:proofErr w:type="gramEnd"/>
    </w:p>
    <w:p w:rsidR="00B03C93" w:rsidRDefault="00B03C93" w:rsidP="007A7795">
      <w:pPr>
        <w:ind w:left="360" w:right="180" w:hanging="180"/>
      </w:pPr>
    </w:p>
    <w:p w:rsidR="00B03C93" w:rsidRDefault="00B03C93" w:rsidP="007A7795">
      <w:pPr>
        <w:ind w:left="360" w:right="180" w:hanging="180"/>
      </w:pPr>
    </w:p>
    <w:p w:rsidR="00B03C93" w:rsidRDefault="00B03C93" w:rsidP="007A7795">
      <w:pPr>
        <w:ind w:left="360" w:right="180" w:hanging="180"/>
      </w:pPr>
    </w:p>
    <w:p w:rsidR="00E04504" w:rsidRDefault="00E04504" w:rsidP="007A7795">
      <w:pPr>
        <w:ind w:left="360" w:right="180" w:hanging="180"/>
      </w:pPr>
    </w:p>
    <w:p w:rsidR="00E04504" w:rsidRDefault="00E04504" w:rsidP="007A7795">
      <w:pPr>
        <w:ind w:left="360" w:right="180" w:hanging="180"/>
      </w:pPr>
    </w:p>
    <w:p w:rsidR="00E04504" w:rsidRDefault="00E04504" w:rsidP="00E04504">
      <w:pPr>
        <w:pStyle w:val="Refs-SIW"/>
        <w:numPr>
          <w:ilvl w:val="0"/>
          <w:numId w:val="0"/>
        </w:numPr>
        <w:ind w:left="-76"/>
      </w:pPr>
    </w:p>
    <w:p w:rsidR="000C1512" w:rsidRDefault="000C1512" w:rsidP="000C1512">
      <w:pPr>
        <w:spacing w:before="120"/>
        <w:jc w:val="both"/>
      </w:pPr>
    </w:p>
    <w:sectPr w:rsidR="000C1512"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472C" w:rsidRDefault="0041472C" w:rsidP="004B4C30">
      <w:r>
        <w:separator/>
      </w:r>
    </w:p>
  </w:endnote>
  <w:endnote w:type="continuationSeparator" w:id="0">
    <w:p w:rsidR="0041472C" w:rsidRDefault="0041472C"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Footer"/>
      <w:tabs>
        <w:tab w:val="clear" w:pos="8640"/>
        <w:tab w:val="right" w:pos="10080"/>
      </w:tabs>
    </w:pPr>
    <w:r>
      <w:rPr>
        <w:i/>
        <w:sz w:val="18"/>
        <w:szCs w:val="18"/>
      </w:rPr>
      <w:t xml:space="preserve">2020 Paper No. 20299 Page </w:t>
    </w:r>
    <w:r>
      <w:rPr>
        <w:i/>
        <w:sz w:val="18"/>
        <w:szCs w:val="18"/>
      </w:rPr>
      <w:fldChar w:fldCharType="begin"/>
    </w:r>
    <w:r>
      <w:rPr>
        <w:i/>
        <w:sz w:val="18"/>
        <w:szCs w:val="18"/>
      </w:rPr>
      <w:instrText>PAGE</w:instrText>
    </w:r>
    <w:r>
      <w:rPr>
        <w:i/>
        <w:sz w:val="18"/>
        <w:szCs w:val="18"/>
      </w:rPr>
      <w:fldChar w:fldCharType="separate"/>
    </w:r>
    <w:r w:rsidR="007A31A8">
      <w:rPr>
        <w:i/>
        <w:noProof/>
        <w:sz w:val="18"/>
        <w:szCs w:val="18"/>
      </w:rPr>
      <w:t>9</w:t>
    </w:r>
    <w:r>
      <w:rPr>
        <w:i/>
        <w:sz w:val="18"/>
        <w:szCs w:val="18"/>
      </w:rPr>
      <w:fldChar w:fldCharType="end"/>
    </w:r>
    <w:r>
      <w:rPr>
        <w:i/>
        <w:sz w:val="18"/>
        <w:szCs w:val="18"/>
      </w:rPr>
      <w:t xml:space="preserve"> of </w:t>
    </w:r>
    <w:r>
      <w:rPr>
        <w:i/>
        <w:sz w:val="18"/>
        <w:szCs w:val="18"/>
      </w:rPr>
      <w:fldChar w:fldCharType="begin"/>
    </w:r>
    <w:r>
      <w:rPr>
        <w:i/>
        <w:sz w:val="18"/>
        <w:szCs w:val="18"/>
      </w:rPr>
      <w:instrText>NUMPAGES</w:instrText>
    </w:r>
    <w:r>
      <w:rPr>
        <w:i/>
        <w:sz w:val="18"/>
        <w:szCs w:val="18"/>
      </w:rPr>
      <w:fldChar w:fldCharType="separate"/>
    </w:r>
    <w:r w:rsidR="007A31A8">
      <w:rPr>
        <w:i/>
        <w:noProof/>
        <w:sz w:val="18"/>
        <w:szCs w:val="18"/>
      </w:rPr>
      <w:t>12</w:t>
    </w:r>
    <w:r>
      <w:rPr>
        <w:i/>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472C" w:rsidRDefault="0041472C" w:rsidP="004B4C30">
      <w:r>
        <w:separator/>
      </w:r>
    </w:p>
  </w:footnote>
  <w:footnote w:type="continuationSeparator" w:id="0">
    <w:p w:rsidR="0041472C" w:rsidRDefault="0041472C"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Header"/>
      <w:ind w:right="-90"/>
      <w:jc w:val="right"/>
      <w:rPr>
        <w:i/>
        <w:iCs/>
        <w:sz w:val="16"/>
      </w:rPr>
    </w:pPr>
  </w:p>
  <w:p w:rsidR="00833992" w:rsidRDefault="00833992">
    <w:pPr>
      <w:pStyle w:val="Header"/>
      <w:jc w:val="right"/>
      <w:rPr>
        <w:i/>
        <w:iCs/>
        <w:sz w:val="16"/>
      </w:rPr>
    </w:pPr>
  </w:p>
  <w:p w:rsidR="00833992" w:rsidRDefault="00833992">
    <w:pPr>
      <w:pStyle w:val="Header"/>
      <w:jc w:val="right"/>
      <w:rPr>
        <w:i/>
        <w:iCs/>
        <w:sz w:val="18"/>
      </w:rPr>
    </w:pPr>
  </w:p>
  <w:p w:rsidR="00833992" w:rsidRDefault="00833992" w:rsidP="00D673AE">
    <w:pPr>
      <w:pStyle w:val="Header"/>
      <w:tabs>
        <w:tab w:val="clear" w:pos="8640"/>
        <w:tab w:val="left" w:pos="9360"/>
      </w:tabs>
      <w:jc w:val="right"/>
      <w:rPr>
        <w:i/>
        <w:iCs/>
        <w:sz w:val="18"/>
      </w:rPr>
    </w:pPr>
    <w:r>
      <w:rPr>
        <w:i/>
        <w:iCs/>
        <w:sz w:val="18"/>
      </w:rPr>
      <w:t>Interservice/Industry Training, Simulation, and Education Conference (I/ITSEC)</w:t>
    </w:r>
  </w:p>
  <w:p w:rsidR="00833992" w:rsidRDefault="00833992" w:rsidP="00D673AE">
    <w:pPr>
      <w:pStyle w:val="Header"/>
      <w:tabs>
        <w:tab w:val="clear" w:pos="8640"/>
        <w:tab w:val="left" w:pos="9360"/>
      </w:tabs>
      <w:jc w:val="right"/>
      <w:rPr>
        <w:i/>
        <w:iCs/>
        <w:sz w:val="18"/>
      </w:rPr>
    </w:pPr>
  </w:p>
  <w:p w:rsidR="00833992" w:rsidRDefault="00833992" w:rsidP="00D673AE">
    <w:pPr>
      <w:pStyle w:val="Header"/>
      <w:tabs>
        <w:tab w:val="clear" w:pos="8640"/>
        <w:tab w:val="left" w:pos="9360"/>
      </w:tabs>
      <w:jc w:val="right"/>
      <w:rPr>
        <w:i/>
        <w:iCs/>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30052"/>
    <w:rsid w:val="000438E0"/>
    <w:rsid w:val="0004545F"/>
    <w:rsid w:val="000614D9"/>
    <w:rsid w:val="00075F9C"/>
    <w:rsid w:val="00080A72"/>
    <w:rsid w:val="00090EB0"/>
    <w:rsid w:val="00096BE4"/>
    <w:rsid w:val="000A3972"/>
    <w:rsid w:val="000C1512"/>
    <w:rsid w:val="000C6F43"/>
    <w:rsid w:val="000F0A01"/>
    <w:rsid w:val="000F48FF"/>
    <w:rsid w:val="00130A88"/>
    <w:rsid w:val="0013570D"/>
    <w:rsid w:val="0017209F"/>
    <w:rsid w:val="001F10E6"/>
    <w:rsid w:val="00210274"/>
    <w:rsid w:val="00237064"/>
    <w:rsid w:val="0024319D"/>
    <w:rsid w:val="0026778E"/>
    <w:rsid w:val="002C07E1"/>
    <w:rsid w:val="002D2F03"/>
    <w:rsid w:val="00303E6A"/>
    <w:rsid w:val="003528BA"/>
    <w:rsid w:val="00363056"/>
    <w:rsid w:val="00366A3F"/>
    <w:rsid w:val="003B3441"/>
    <w:rsid w:val="003B6711"/>
    <w:rsid w:val="003D41A9"/>
    <w:rsid w:val="00410DBD"/>
    <w:rsid w:val="0041472C"/>
    <w:rsid w:val="004527E7"/>
    <w:rsid w:val="00466670"/>
    <w:rsid w:val="004A61A8"/>
    <w:rsid w:val="004B4C30"/>
    <w:rsid w:val="004D0D2F"/>
    <w:rsid w:val="004E7758"/>
    <w:rsid w:val="004F20EF"/>
    <w:rsid w:val="004F6AD7"/>
    <w:rsid w:val="00544830"/>
    <w:rsid w:val="00573CFD"/>
    <w:rsid w:val="005841E9"/>
    <w:rsid w:val="00585C09"/>
    <w:rsid w:val="005A4377"/>
    <w:rsid w:val="005A5159"/>
    <w:rsid w:val="005D24D9"/>
    <w:rsid w:val="005F112E"/>
    <w:rsid w:val="0061526C"/>
    <w:rsid w:val="00635719"/>
    <w:rsid w:val="00664960"/>
    <w:rsid w:val="00670F83"/>
    <w:rsid w:val="006725F6"/>
    <w:rsid w:val="00676033"/>
    <w:rsid w:val="0067698F"/>
    <w:rsid w:val="00695623"/>
    <w:rsid w:val="006A4CC1"/>
    <w:rsid w:val="006C41AE"/>
    <w:rsid w:val="00702873"/>
    <w:rsid w:val="00753E96"/>
    <w:rsid w:val="00777826"/>
    <w:rsid w:val="007A31A8"/>
    <w:rsid w:val="007A7795"/>
    <w:rsid w:val="007B2345"/>
    <w:rsid w:val="007C4F55"/>
    <w:rsid w:val="007E31A5"/>
    <w:rsid w:val="007E4C7A"/>
    <w:rsid w:val="00802811"/>
    <w:rsid w:val="00817A23"/>
    <w:rsid w:val="00833992"/>
    <w:rsid w:val="00861E0A"/>
    <w:rsid w:val="00883953"/>
    <w:rsid w:val="008E1D62"/>
    <w:rsid w:val="008E698F"/>
    <w:rsid w:val="009219A0"/>
    <w:rsid w:val="0096378A"/>
    <w:rsid w:val="00987430"/>
    <w:rsid w:val="00991445"/>
    <w:rsid w:val="009A5B9A"/>
    <w:rsid w:val="009A67C9"/>
    <w:rsid w:val="009A714E"/>
    <w:rsid w:val="009B4FB0"/>
    <w:rsid w:val="009E6FFC"/>
    <w:rsid w:val="009F1672"/>
    <w:rsid w:val="009F564B"/>
    <w:rsid w:val="00A30402"/>
    <w:rsid w:val="00A61A88"/>
    <w:rsid w:val="00A61AAD"/>
    <w:rsid w:val="00A770E4"/>
    <w:rsid w:val="00AA7DA3"/>
    <w:rsid w:val="00AB7150"/>
    <w:rsid w:val="00AE2091"/>
    <w:rsid w:val="00AE48A4"/>
    <w:rsid w:val="00AF6425"/>
    <w:rsid w:val="00B03C93"/>
    <w:rsid w:val="00B077CA"/>
    <w:rsid w:val="00B15391"/>
    <w:rsid w:val="00B211F8"/>
    <w:rsid w:val="00B25938"/>
    <w:rsid w:val="00B730B4"/>
    <w:rsid w:val="00B82CD3"/>
    <w:rsid w:val="00B83E75"/>
    <w:rsid w:val="00B9345F"/>
    <w:rsid w:val="00BC1F48"/>
    <w:rsid w:val="00BC3956"/>
    <w:rsid w:val="00BC720F"/>
    <w:rsid w:val="00BD15CD"/>
    <w:rsid w:val="00C03066"/>
    <w:rsid w:val="00C54A62"/>
    <w:rsid w:val="00C661B4"/>
    <w:rsid w:val="00C94E2F"/>
    <w:rsid w:val="00C95958"/>
    <w:rsid w:val="00CA385C"/>
    <w:rsid w:val="00CB5289"/>
    <w:rsid w:val="00CB5C8C"/>
    <w:rsid w:val="00CC062C"/>
    <w:rsid w:val="00CC0F65"/>
    <w:rsid w:val="00CC13A4"/>
    <w:rsid w:val="00D33BE5"/>
    <w:rsid w:val="00D424E7"/>
    <w:rsid w:val="00D55CFF"/>
    <w:rsid w:val="00D673AE"/>
    <w:rsid w:val="00D70744"/>
    <w:rsid w:val="00D71D60"/>
    <w:rsid w:val="00DC5142"/>
    <w:rsid w:val="00DD5F06"/>
    <w:rsid w:val="00E00076"/>
    <w:rsid w:val="00E04504"/>
    <w:rsid w:val="00E16F2C"/>
    <w:rsid w:val="00E83309"/>
    <w:rsid w:val="00EB12F0"/>
    <w:rsid w:val="00ED3088"/>
    <w:rsid w:val="00ED56A9"/>
    <w:rsid w:val="00EF6073"/>
    <w:rsid w:val="00F03283"/>
    <w:rsid w:val="00F16464"/>
    <w:rsid w:val="00F264AB"/>
    <w:rsid w:val="00F33E61"/>
    <w:rsid w:val="00F35D72"/>
    <w:rsid w:val="00F80285"/>
    <w:rsid w:val="00FA1886"/>
    <w:rsid w:val="00FC6724"/>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B31DBE5-A6FB-42ED-985B-52E0B2AEF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12</Pages>
  <Words>5551</Words>
  <Characters>31642</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37119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DaveBarnhill</cp:lastModifiedBy>
  <cp:revision>3</cp:revision>
  <cp:lastPrinted>2020-02-22T20:17:00Z</cp:lastPrinted>
  <dcterms:created xsi:type="dcterms:W3CDTF">2020-05-11T00:28:00Z</dcterms:created>
  <dcterms:modified xsi:type="dcterms:W3CDTF">2020-05-11T01:28:00Z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