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08" w:type="dxa"/>
        <w:tblLook w:val="04A0"/>
      </w:tblPr>
      <w:tblGrid>
        <w:gridCol w:w="2430"/>
        <w:gridCol w:w="2160"/>
        <w:gridCol w:w="2700"/>
        <w:gridCol w:w="2070"/>
      </w:tblGrid>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24319D">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C95958" w:rsidP="00C95958">
      <w:pPr>
        <w:jc w:val="both"/>
      </w:pPr>
      <w:r w:rsidRPr="00C95958">
        <w:rPr>
          <w:iCs/>
        </w:rPr>
        <w:t>This paper reviews the needs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  The paper opens with a view of the need for both metacognition and critical thinking skills in today’s defense environment and a report on the number of leaders, analysts, and staff who decry the current state of those abilities.  The capability and need to begin this educational process early with the Warfighters is advanced.  Then, a review of the recognized pedagogical approaches to improving these proficiencies is countered by an explication of the many personal, organizational, and social hurdles to implementing these approaches.  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  Some of the obstacles addressed are classroom scheduling, operational schedule overloads, geographic isolations, and personal characteristics of both educator and student.  Recent research outcomes are offered as examples of current capabilities and future research efforts are outlined, outlining design conc</w:t>
      </w:r>
      <w:r w:rsidR="009A67C9">
        <w:rPr>
          <w:iCs/>
        </w:rPr>
        <w:t>e</w:t>
      </w:r>
      <w:r w:rsidRPr="00C95958">
        <w:rPr>
          <w:iCs/>
        </w:rPr>
        <w:t>pts and previewing capabilities new tools that will soon be available to the professionals in this discipline.  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9A714E">
      <w:pPr>
        <w:spacing w:before="120"/>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r>
        <w:rPr>
          <w:bCs/>
        </w:rPr>
        <w:t>is the Dean of Instruction at The Wilberforce School, a classical education private academy in Princeton New Jersey.  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 xml:space="preserve">.  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r w:rsidR="003B3441">
        <w:rPr>
          <w:bCs/>
        </w:rPr>
        <w:t>an</w:t>
      </w:r>
      <w:r w:rsidRPr="00CB5289">
        <w:rPr>
          <w:bCs/>
        </w:rPr>
        <w:t xml:space="preserve"> M.Div. </w:t>
      </w:r>
      <w:r>
        <w:rPr>
          <w:bCs/>
        </w:rPr>
        <w:t>and a</w:t>
      </w:r>
      <w:r w:rsidRPr="00CB5289">
        <w:rPr>
          <w:bCs/>
        </w:rPr>
        <w:t xml:space="preserve"> D.Min. </w:t>
      </w:r>
      <w:r>
        <w:rPr>
          <w:bCs/>
        </w:rPr>
        <w:t>from</w:t>
      </w:r>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08" w:type="dxa"/>
        <w:tblLook w:val="04A0"/>
      </w:tblPr>
      <w:tblGrid>
        <w:gridCol w:w="2430"/>
        <w:gridCol w:w="2160"/>
        <w:gridCol w:w="2700"/>
        <w:gridCol w:w="2070"/>
      </w:tblGrid>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04545F">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585C09" w:rsidRDefault="00585C09" w:rsidP="00CA385C">
      <w:pPr>
        <w:pStyle w:val="Heading1"/>
      </w:pPr>
    </w:p>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exercise of defense organizational goal attainment.  The authors </w:t>
      </w:r>
      <w:r w:rsidR="00210274">
        <w:t xml:space="preserve">further assert that there are constraints to inculcating such skills in DoD personnel and these constraints are not easily ameliorated.  They report on the recent advances in virtual human technologies as potential responses to these hurdles.  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An effort to define the term critical thinking is presented, along with the results of an informal ethnographic survey of DoD personnel. There is a short review of common pedagogies to assist those not entirely familiar with them, along with a discussion of metrics.  Current research in the field is covered, focusing on the work at USC.  Then there is a section on applying these capabilities to the issue at hand.  That process is discussed and conclusions are advanced, along with issues to be addressed in the future.</w:t>
      </w:r>
      <w:r w:rsidR="006C41AE">
        <w:t xml:space="preserve">  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Prior to discussing the technical advances that lie at the heart of this paper’s major thesis, it is necessary to consider the context in which such advances are made practical and their ut</w:t>
      </w:r>
      <w:r w:rsidR="006A4CC1">
        <w:t xml:space="preserve">ility made manifest. So, it is impractical to cover here or even to be survey effectively a </w:t>
      </w:r>
      <w:r>
        <w:t>large body of experience, insight and</w:t>
      </w:r>
      <w:r w:rsidR="006A4CC1" w:rsidRPr="006A4CC1">
        <w:t xml:space="preserve"> </w:t>
      </w:r>
      <w:r w:rsidR="006A4CC1">
        <w:t>lore</w:t>
      </w:r>
      <w:r w:rsidR="00702873">
        <w:t>.  A few germane anecdotes will be adduced to set the stage.</w:t>
      </w:r>
    </w:p>
    <w:p w:rsidR="00702873" w:rsidRDefault="00702873" w:rsidP="00210274">
      <w:pPr>
        <w:jc w:val="both"/>
      </w:pPr>
    </w:p>
    <w:p w:rsidR="00A770E4" w:rsidRDefault="00702873" w:rsidP="00210274">
      <w:pPr>
        <w:jc w:val="both"/>
      </w:pPr>
      <w:r>
        <w:t xml:space="preserve">Populations have been at war with each other for at least as long as they have had a system of recording conflicts.  Combat has long been an unforgiving environment for those who are not thinking rationally.  Early on the Greeks developed the concept of massing a dense body of fighters into an almost irresistible weapon to shatter the enemy lines.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  A scant fifty years after that, the US would pay in blood for not recognizing the rifle had gotten more accurate and longer ranged.  The American marksmen grew up with firearms in their hands.  Toward the end of that war, a critical thinker developed and advocated a more dispersed and agile style of attack in response to these </w:t>
      </w:r>
      <w:r w:rsidR="00A770E4">
        <w:t>technologies</w:t>
      </w:r>
      <w:r w:rsidR="00B25938">
        <w:t xml:space="preserve">.  But all was </w:t>
      </w:r>
      <w:r w:rsidR="006C41AE">
        <w:t>forgotten</w:t>
      </w:r>
      <w:r w:rsidR="00B25938">
        <w:t xml:space="preserve"> during the American Indian Wars and the British Colonial Wars, and that oversight led to the incredible losses in WW I.  </w:t>
      </w:r>
      <w:r w:rsidR="00EF6073">
        <w:t xml:space="preserve">German Maxims did not honor the bravery of me </w:t>
      </w:r>
      <w:r w:rsidR="005A4377">
        <w:t xml:space="preserve">walking in orderly fashion toward their trenches.  </w:t>
      </w:r>
      <w:r w:rsidR="00B25938">
        <w:t xml:space="preserve">In fact, an extension of those inclinations to form an “iron fist” of men may have found its expression in the case of Torpedo Eight in WW II’s battle of Midway, in which every plane of that unit was shot down without a landing a single blow against the Japanese Imperial Navy. </w:t>
      </w:r>
      <w:r w:rsidR="00A770E4">
        <w:t xml:space="preserve">A dearth of critical thinking missed the fact that the concentrated planes of Torpedo Eight did not provide the Americans with a n iron fist; it provided the Japanese with a </w:t>
      </w:r>
      <w:r w:rsidR="00EF6073">
        <w:t>s</w:t>
      </w:r>
      <w:r w:rsidR="00A770E4">
        <w:t>ingle target upon which the entire fleet could concentrate their weapons.  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6A4CC1" w:rsidP="006A4CC1">
      <w:pPr>
        <w:jc w:val="both"/>
      </w:pPr>
      <w:r>
        <w:t xml:space="preserve">  Twenty percent of the names on the Wall in the Vietnam Memorial in DC did not die at the hands of the NVA and only the Good Lord knows how many of the other 80% were lost due to lack of critical thinking.</w:t>
      </w:r>
      <w:r w:rsidR="00F80285">
        <w:t xml:space="preserve">  </w:t>
      </w:r>
      <w:r>
        <w:t xml:space="preserve">Many brilliant men have been known, but many of them don’t seem to apply that brilliance for one reason or another.  Many have witnessed in person and studied remotely how such failures lead to immediate and catastrophic results in a military environment. If the nation would be able to use the emerging powers of virtual reality and virtual humans to </w:t>
      </w:r>
      <w:r>
        <w:lastRenderedPageBreak/>
        <w:t>improve both selection and training to reduce errors, we would have done good work for the defense personnel who are in harm’s way today.</w:t>
      </w:r>
      <w:r w:rsidR="00AE2091">
        <w:t xml:space="preserve">  The descent of command prerogatives further and further down the ranks until even junior Non Commissioned Officers (NCOs) have the distance from chain of command oversight and counsel, and must exercise independent judgment in the conduct of combat operations. </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xml:space="preserve">. Good tests are available for intelligence or g-factor and these tests have been extant in one form or another for millennia, having been in place at least as early as 600 A.D. Courage can be tested to some degree by challenging candidates with daunting tasks in Officer Candidate programs.  However, testing for the subtle and multi-faceted </w:t>
      </w:r>
      <w:r w:rsidR="006C41AE">
        <w:t>characteristic which is labeled Critical Thinking is much more problematic and much in need of an independent study to characterize the concept and quantify its magnitude and potential.  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r w:rsidR="00E04504">
        <w:t>(</w:t>
      </w:r>
      <w:r>
        <w:t>Visser, 2019).</w:t>
      </w:r>
      <w:r w:rsidR="007B2345">
        <w:t xml:space="preserve"> </w:t>
      </w:r>
      <w:r w:rsidR="005A5159">
        <w:t>Critical Thinking was not emphasized during the imperial age of the Roman Empire nor the dart period that followed in Europe, but its tradition remained alive in the Asian continent.  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F80285">
        <w:t xml:space="preserve">  But the age of industry was upon us, and the need for Critical Thinking was increasing.  This need was accelerating even faster within the defense organizations of every nation, as weapons went from tools that can be forged at home to sophisticated machines that require significant technical expertise to even operate. The turn of the 20</w:t>
      </w:r>
      <w:r w:rsidR="00F80285" w:rsidRPr="00F80285">
        <w:rPr>
          <w:vertAlign w:val="superscript"/>
        </w:rPr>
        <w:t>th</w:t>
      </w:r>
      <w:r w:rsidR="00F80285">
        <w:t xml:space="preserve"> and 21</w:t>
      </w:r>
      <w:r w:rsidR="00F80285" w:rsidRPr="00F80285">
        <w:rPr>
          <w:vertAlign w:val="superscript"/>
        </w:rPr>
        <w:t>st</w:t>
      </w:r>
      <w:r w:rsidR="00F80285">
        <w:t xml:space="preserve"> Centuries brought about a deluge of scholarly articles about this topic</w:t>
      </w:r>
    </w:p>
    <w:p w:rsidR="007A7795" w:rsidRPr="00955532" w:rsidRDefault="007A7795" w:rsidP="007A7795">
      <w:pPr>
        <w:pStyle w:val="Heading1"/>
      </w:pPr>
      <w:r w:rsidRPr="00955532">
        <w:t>…</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has arisen is the one of how Critical Thinking is developed and sustained.  One </w:t>
      </w:r>
      <w:r w:rsidR="00B9345F">
        <w:t>method</w:t>
      </w:r>
      <w:r>
        <w:t xml:space="preserve"> according to</w:t>
      </w:r>
      <w:r w:rsidR="00D71D60">
        <w:t xml:space="preserve"> Philip Tetlock of Princeton is for the analyst to consider their own method of analysis (Tetlock &amp; Gardner, 2016).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   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   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 xml:space="preserve">Surely, since there was conflict, there have been those who have made it a practice to analyze the leaders and the choices they have made.  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Fluellen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  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  (Danchev,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t>military personnel</w:t>
      </w:r>
      <w:r>
        <w:t>.  The locus of control has flowed from the front line of Alexander’s hoplites to the</w:t>
      </w:r>
      <w:r w:rsidR="008E1D62">
        <w:t xml:space="preserve"> Army</w:t>
      </w:r>
      <w:r>
        <w:t xml:space="preserve"> headquarters of World War II.  Some </w:t>
      </w:r>
      <w:r w:rsidR="008E1D62">
        <w:t xml:space="preserve">have even argued that </w:t>
      </w:r>
      <w:r>
        <w:t xml:space="preserve">it has flowed to the halls of Washington during the Vietnam War.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 xml:space="preserve">.  It is rapidly flowing down the lowest </w:t>
      </w:r>
      <w:r w:rsidR="00FF6FA3">
        <w:t>squad and fire-team</w:t>
      </w:r>
      <w:r w:rsidR="00E04504">
        <w:t xml:space="preserve"> levels in the Gulf Wars.  Low ranking officers and senior NCOs are making decisions that would have been </w:t>
      </w:r>
      <w:r w:rsidR="00FF6FA3">
        <w:t>unimaginable</w:t>
      </w:r>
      <w:r w:rsidR="00E04504">
        <w:t xml:space="preserve"> </w:t>
      </w:r>
      <w:r w:rsidR="00FF6FA3">
        <w:t>at the battle of Waterloo</w:t>
      </w:r>
      <w:r w:rsidR="00E04504">
        <w:t xml:space="preserve">.  This means being a junior officer </w:t>
      </w:r>
      <w:r w:rsidR="00E04504">
        <w:lastRenderedPageBreak/>
        <w:t>has 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 xml:space="preserve">wonder what applicability it has in the defense of the nation.  There have been some studies, albeit more anecdotal than statistically pure, that have shown a high correlation between metacognitive activity and performance in fields focusing on intellectual operations (Romainville, 1994).  But, not all uses of metacognition are universally seen as beneficial.  The thrust of many of these arguments seem to be that sometimes focusing on understanding the process by which one learns is more a distraction than an aid, </w:t>
      </w:r>
      <w:r w:rsidR="00466670" w:rsidRPr="004A61A8">
        <w:rPr>
          <w:i/>
        </w:rPr>
        <w:t>e.g</w:t>
      </w:r>
      <w:r w:rsidR="00466670">
        <w:t xml:space="preserve"> one cannot learn to ride a bicycle by thinking about it.  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   There has been significant discussion about times when metacognition is not productive (Mathematics Educator, 2020).  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of the authors’ comrades in arms have significant experience, but little need or opportunity to consider the precise definition of the term.  To say the term is evolving would be a conservative position.  A search of the literature has not found either a recent advent of the concept or an identifiable champion or originator of the term to whom one could turn to define the concept.  As noted above, the term is seemingly an articulation of concept that has been discussed for millennia. A straight forward approach may be to rely on reference sources.  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(Wiktionary, 2020).</w:t>
      </w:r>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 by the warfighter as a tool of value.  The sense is that Critical Thinking is one of those concepts that is better understood in the abstract than in a few phrases of English.  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it, …” (Stewart, </w:t>
      </w:r>
      <w:r w:rsidR="0017209F">
        <w:t>1964</w:t>
      </w:r>
      <w:r w:rsidR="004F20EF">
        <w:t>)</w:t>
      </w:r>
      <w:r w:rsidR="0017209F">
        <w:t xml:space="preserve">.  In an attempt to find a more contextually satisfying definition the authors sought the counsel of their academic brethren, many of whom were life-long students of military history and few of whom were military veterans.  </w:t>
      </w:r>
    </w:p>
    <w:p w:rsidR="0017209F" w:rsidRDefault="0017209F" w:rsidP="005D24D9">
      <w:pPr>
        <w:jc w:val="both"/>
      </w:pPr>
    </w:p>
    <w:p w:rsidR="00B211F8" w:rsidRDefault="0017209F" w:rsidP="005D24D9">
      <w:pPr>
        <w:jc w:val="both"/>
      </w:pPr>
      <w:r>
        <w:t xml:space="preserve">While illuminating, this canvas of local wisdom was not sufficiently deep for the purposes of this paper.  It was decided to survey a more wide-spread and diverse group of military personnel.  As no funding was available for a carefully circumscribed and statistically sophisticated study, value was still to be realized from conducting an ethnographic study of a small number of veterans.  An instrument was designed to seek input on the definition of the term “Critical Thinking,”  observable indicia of it, and the relative value in military service. </w:t>
      </w:r>
      <w:r w:rsidR="00FC6724">
        <w:t>A group of 38 military veterans for whom eMail addresses were in the possession of one of the authors (D. Davis) were invited to participate in the survey</w:t>
      </w:r>
      <w:r w:rsidR="00B211F8">
        <w:t>.  The invitees included pay grades from E-5 through O-8.  The participants were further asked</w:t>
      </w:r>
      <w:r w:rsidR="00FC6724">
        <w:t xml:space="preserve"> to forward such an invitation to veterans and civilians within their own ken who would be likely to have opinions on the topic This technique is often </w:t>
      </w:r>
      <w:r w:rsidR="00B211F8">
        <w:t>referred</w:t>
      </w:r>
      <w:r w:rsidR="00FC6724">
        <w:t xml:space="preserve"> to as “snowball sampling” and it has both limitations and legitimate uses (Noy, 2008).</w:t>
      </w:r>
      <w:r w:rsidR="00B211F8">
        <w:t xml:space="preserve"> </w:t>
      </w:r>
    </w:p>
    <w:p w:rsidR="00B211F8" w:rsidRDefault="00B211F8" w:rsidP="005D24D9">
      <w:pPr>
        <w:jc w:val="both"/>
      </w:pPr>
    </w:p>
    <w:p w:rsidR="0017209F" w:rsidRDefault="00B211F8" w:rsidP="005D24D9">
      <w:pPr>
        <w:jc w:val="both"/>
      </w:pPr>
      <w:r>
        <w:t xml:space="preserve">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  The language in these eMails was judged to run from analytic to emotional.  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an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  That was followed by an opportunity to opine and add to the issues under consideration. This was create using HTML forms </w:t>
      </w:r>
      <w:r>
        <w:lastRenderedPageBreak/>
        <w:t>for the survey page and PHP programs for the data processing and storage functions and PHP for the analytic functions.  The first section of the survey instrument appears in Figure .</w:t>
      </w:r>
    </w:p>
    <w:p w:rsidR="00ED56A9" w:rsidRDefault="00ED56A9" w:rsidP="00ED56A9">
      <w:pPr>
        <w:jc w:val="both"/>
      </w:pPr>
    </w:p>
    <w:p w:rsidR="00ED56A9" w:rsidRDefault="007E31A5" w:rsidP="007E31A5">
      <w:pPr>
        <w:jc w:val="center"/>
      </w:pPr>
      <w:r>
        <w:rPr>
          <w:noProof/>
        </w:rPr>
        <w:drawing>
          <wp:inline distT="0" distB="0" distL="0" distR="0">
            <wp:extent cx="5998403" cy="4072634"/>
            <wp:effectExtent l="19050" t="0" r="2347"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6004958" cy="4077084"/>
                    </a:xfrm>
                    <a:prstGeom prst="rect">
                      <a:avLst/>
                    </a:prstGeom>
                  </pic:spPr>
                </pic:pic>
              </a:graphicData>
            </a:graphic>
          </wp:inline>
        </w:drawing>
      </w:r>
    </w:p>
    <w:p w:rsidR="007E31A5" w:rsidRDefault="007E31A5" w:rsidP="007E31A5">
      <w:pPr>
        <w:jc w:val="center"/>
      </w:pPr>
    </w:p>
    <w:p w:rsidR="007E31A5" w:rsidRDefault="007E31A5" w:rsidP="007E31A5">
      <w:pPr>
        <w:pStyle w:val="Caption"/>
        <w:jc w:val="center"/>
        <w:rPr>
          <w:color w:val="auto"/>
        </w:rPr>
      </w:pPr>
      <w:r w:rsidRPr="007E31A5">
        <w:rPr>
          <w:color w:val="auto"/>
        </w:rPr>
        <w:t xml:space="preserve">Figure </w:t>
      </w:r>
      <w:r w:rsidR="009219A0" w:rsidRPr="007E31A5">
        <w:rPr>
          <w:color w:val="auto"/>
        </w:rPr>
        <w:fldChar w:fldCharType="begin"/>
      </w:r>
      <w:r w:rsidRPr="007E31A5">
        <w:rPr>
          <w:color w:val="auto"/>
        </w:rPr>
        <w:instrText xml:space="preserve"> SEQ Figure \* ARABIC </w:instrText>
      </w:r>
      <w:r w:rsidR="009219A0" w:rsidRPr="007E31A5">
        <w:rPr>
          <w:color w:val="auto"/>
        </w:rPr>
        <w:fldChar w:fldCharType="separate"/>
      </w:r>
      <w:r w:rsidR="00DC5142">
        <w:rPr>
          <w:noProof/>
          <w:color w:val="auto"/>
        </w:rPr>
        <w:t>1</w:t>
      </w:r>
      <w:r w:rsidR="009219A0" w:rsidRPr="007E31A5">
        <w:rPr>
          <w:color w:val="auto"/>
        </w:rPr>
        <w:fldChar w:fldCharType="end"/>
      </w:r>
      <w:r>
        <w:rPr>
          <w:color w:val="auto"/>
        </w:rPr>
        <w:t>.</w:t>
      </w:r>
      <w:r w:rsidRPr="007E31A5">
        <w:rPr>
          <w:color w:val="auto"/>
        </w:rPr>
        <w:t xml:space="preserve"> Ethnographic Survey on Critical Thinking</w:t>
      </w:r>
    </w:p>
    <w:p w:rsidR="00410DBD" w:rsidRDefault="00410DBD" w:rsidP="00410DBD">
      <w:pPr>
        <w:jc w:val="both"/>
      </w:pPr>
    </w:p>
    <w:p w:rsidR="00410DBD" w:rsidRDefault="00410DBD" w:rsidP="00410DBD">
      <w:pPr>
        <w:jc w:val="both"/>
      </w:pPr>
      <w:r>
        <w:t xml:space="preserve">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  The reader is invited to contribute to this work by participating in the survey.  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9219A0" w:rsidP="00753E96">
      <w:pPr>
        <w:jc w:val="both"/>
      </w:pPr>
      <w:r>
        <w:rPr>
          <w:noProof/>
        </w:rPr>
        <w:pict>
          <v:shapetype id="_x0000_t202" coordsize="21600,21600" o:spt="202" path="m,l,21600r21600,l21600,xe">
            <v:stroke joinstyle="miter"/>
            <v:path gradientshapeok="t" o:connecttype="rect"/>
          </v:shapetype>
          <v:shape id="_x0000_s1026" type="#_x0000_t202" style="position:absolute;left:0;text-align:left;margin-left:210pt;margin-top:301.2pt;width:247.9pt;height:.05pt;z-index:251660288" stroked="f">
            <v:textbox style="mso-next-textbox:#_x0000_s1026;mso-fit-shape-to-text:t" inset="0,0,0,0">
              <w:txbxContent>
                <w:p w:rsidR="00833992" w:rsidRPr="00753E96" w:rsidRDefault="00833992" w:rsidP="00753E96">
                  <w:pPr>
                    <w:pStyle w:val="Caption"/>
                    <w:jc w:val="center"/>
                    <w:rPr>
                      <w:noProof/>
                      <w:color w:val="auto"/>
                      <w:sz w:val="20"/>
                      <w:szCs w:val="20"/>
                    </w:rPr>
                  </w:pPr>
                  <w:bookmarkStart w:id="0" w:name="_Ref40001581"/>
                  <w:bookmarkStart w:id="1" w:name="_Ref40001499"/>
                  <w:r w:rsidRPr="00753E96">
                    <w:rPr>
                      <w:color w:val="auto"/>
                    </w:rPr>
                    <w:t xml:space="preserve">Figure </w:t>
                  </w:r>
                  <w:r w:rsidRPr="00753E96">
                    <w:rPr>
                      <w:color w:val="auto"/>
                    </w:rPr>
                    <w:fldChar w:fldCharType="begin"/>
                  </w:r>
                  <w:r w:rsidRPr="00753E96">
                    <w:rPr>
                      <w:color w:val="auto"/>
                    </w:rPr>
                    <w:instrText xml:space="preserve"> SEQ Figure \* ARABIC </w:instrText>
                  </w:r>
                  <w:r w:rsidRPr="00753E96">
                    <w:rPr>
                      <w:color w:val="auto"/>
                    </w:rPr>
                    <w:fldChar w:fldCharType="separate"/>
                  </w:r>
                  <w:r>
                    <w:rPr>
                      <w:noProof/>
                      <w:color w:val="auto"/>
                    </w:rPr>
                    <w:t>2</w:t>
                  </w:r>
                  <w:r w:rsidRPr="00753E96">
                    <w:rPr>
                      <w:color w:val="auto"/>
                    </w:rPr>
                    <w:fldChar w:fldCharType="end"/>
                  </w:r>
                  <w:bookmarkEnd w:id="0"/>
                  <w:r w:rsidRPr="00753E96">
                    <w:rPr>
                      <w:color w:val="auto"/>
                    </w:rPr>
                    <w:t>. Responses as shown to users.</w:t>
                  </w:r>
                  <w:bookmarkEnd w:id="1"/>
                </w:p>
              </w:txbxContent>
            </v:textbox>
            <w10:wrap type="square"/>
          </v:shape>
        </w:pict>
      </w:r>
      <w:r w:rsidR="00E00076">
        <w:t>The data management program fi</w:t>
      </w:r>
      <w:r w:rsidR="0067698F">
        <w:t>r</w:t>
      </w:r>
      <w:r w:rsidR="00E00076">
        <w:t xml:space="preserve">st checks for completion and evaluated the Likert data for non-compliance (no answers, all Likert answers the same value, program code in the text boxes, </w:t>
      </w:r>
      <w:r w:rsidR="00E00076" w:rsidRPr="00E00076">
        <w:rPr>
          <w:i/>
        </w:rPr>
        <w:t>etc.)</w:t>
      </w:r>
      <w:r w:rsidR="00664960">
        <w:rPr>
          <w:i/>
        </w:rPr>
        <w:t xml:space="preserve">. </w:t>
      </w:r>
      <w:r w:rsidR="00664960">
        <w:t xml:space="preserve">Discrepancies are noted and the participant is notified and invited to back up one page and complete the form.  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rsidR="00E00076">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be lost for any reason. </w:t>
      </w:r>
      <w:r w:rsidR="00753E96">
        <w:t xml:space="preserve">Of the 38 invitees, no one reported technical issues regarding </w:t>
      </w:r>
      <w:r w:rsidR="00664960">
        <w:t xml:space="preserve">pertaining to </w:t>
      </w:r>
      <w:r w:rsidR="00753E96">
        <w:t xml:space="preserve">or complaints on the survey.  Several asked to see the response summaries when completed.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664960" w:rsidP="008E698F">
      <w:pPr>
        <w:jc w:val="both"/>
      </w:pPr>
      <w:r>
        <w:rPr>
          <w:noProof/>
        </w:rPr>
        <w:lastRenderedPageBreak/>
        <w:drawing>
          <wp:anchor distT="0" distB="0" distL="114300" distR="114300" simplePos="0" relativeHeight="251662336" behindDoc="0" locked="0" layoutInCell="1" allowOverlap="1">
            <wp:simplePos x="0" y="0"/>
            <wp:positionH relativeFrom="column">
              <wp:posOffset>2882900</wp:posOffset>
            </wp:positionH>
            <wp:positionV relativeFrom="paragraph">
              <wp:posOffset>-635</wp:posOffset>
            </wp:positionV>
            <wp:extent cx="3147695" cy="3435350"/>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3147695" cy="3435350"/>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9219A0">
        <w:fldChar w:fldCharType="begin"/>
      </w:r>
      <w:r w:rsidR="00410DBD">
        <w:instrText xml:space="preserve"> REF _Ref40001581 \h </w:instrText>
      </w:r>
      <w:r w:rsidR="009219A0">
        <w:fldChar w:fldCharType="separate"/>
      </w:r>
      <w:r w:rsidR="00410DBD" w:rsidRPr="00753E96">
        <w:t xml:space="preserve">Figure </w:t>
      </w:r>
      <w:r w:rsidR="00410DBD" w:rsidRPr="00753E96">
        <w:rPr>
          <w:noProof/>
        </w:rPr>
        <w:t>2</w:t>
      </w:r>
      <w:r w:rsidR="009219A0">
        <w:fldChar w:fldCharType="end"/>
      </w:r>
      <w:r w:rsidR="00410DBD">
        <w:t>.  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 xml:space="preserve">.  </w:t>
      </w:r>
    </w:p>
    <w:p w:rsidR="00BC3956" w:rsidRDefault="00BC3956" w:rsidP="008E698F">
      <w:pPr>
        <w:jc w:val="both"/>
      </w:pPr>
    </w:p>
    <w:p w:rsidR="00BC3956" w:rsidRDefault="00BC3956" w:rsidP="008E698F">
      <w:pPr>
        <w:jc w:val="both"/>
      </w:pPr>
      <w:r>
        <w:t xml:space="preserve">Many of these early (part of the first group of 38) responses did not include input in the three closing text boxes.  The reason for this is not certain, but as so many of the participants had sent the researchers personal eMail and two phone calls, they may have thought the text box responses were superfluous.  As the snowball effect takes hold, more responses in the text boxes may occur.  Adding more contact data to the user response confirmation page is being considered.  </w:t>
      </w:r>
    </w:p>
    <w:p w:rsidR="00BC3956" w:rsidRDefault="00BC3956" w:rsidP="008E698F">
      <w:pPr>
        <w:jc w:val="both"/>
      </w:pPr>
    </w:p>
    <w:p w:rsidR="00BC3956" w:rsidRDefault="00BC3956" w:rsidP="008E698F">
      <w:pPr>
        <w:jc w:val="both"/>
      </w:pPr>
      <w:r>
        <w:t>The issue of whether the need for and enthusiasm about this issue is being analyzed.  A more sophisticated instrument, a better focused set of questions and a new look at project goals may result in ascertaining a wider mandate to pursue this.  One of the participants did report an effort in the US Army to address this issue and coordination with that effort will be initiated.</w:t>
      </w:r>
    </w:p>
    <w:p w:rsidR="0067698F" w:rsidRDefault="0067698F" w:rsidP="0067698F">
      <w:pPr>
        <w:jc w:val="center"/>
      </w:pPr>
    </w:p>
    <w:p w:rsidR="00E00076" w:rsidRDefault="0067698F" w:rsidP="00E00076">
      <w:r>
        <w:t xml:space="preserve">The PHP data management program stored the raw data, with the exception of the text from the closing three text boxes, in a flat file.  There was no need for elaborate relational data base creation. This data was kept in a comma separated values (CSV) list as is shown in </w:t>
      </w:r>
      <w:r w:rsidR="009219A0">
        <w:fldChar w:fldCharType="begin"/>
      </w:r>
      <w:r w:rsidR="00DC5142">
        <w:instrText xml:space="preserve"> REF _Ref40006365 \h </w:instrText>
      </w:r>
      <w:r w:rsidR="009219A0">
        <w:fldChar w:fldCharType="separate"/>
      </w:r>
      <w:r w:rsidR="00DC5142" w:rsidRPr="00DC5142">
        <w:t xml:space="preserve">Figure </w:t>
      </w:r>
      <w:r w:rsidR="00DC5142" w:rsidRPr="00DC5142">
        <w:rPr>
          <w:noProof/>
        </w:rPr>
        <w:t>3</w:t>
      </w:r>
      <w:r w:rsidR="009219A0">
        <w:fldChar w:fldCharType="end"/>
      </w:r>
      <w:r>
        <w:t xml:space="preserve"> below.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BC3956" w:rsidRPr="00DC5142" w:rsidRDefault="00DC5142" w:rsidP="00DC5142">
      <w:pPr>
        <w:pStyle w:val="Caption"/>
        <w:jc w:val="center"/>
        <w:rPr>
          <w:color w:val="auto"/>
        </w:rPr>
      </w:pPr>
      <w:bookmarkStart w:id="2" w:name="_Ref40006365"/>
      <w:r w:rsidRPr="00DC5142">
        <w:rPr>
          <w:color w:val="auto"/>
        </w:rPr>
        <w:t xml:space="preserve">Figure </w:t>
      </w:r>
      <w:r w:rsidR="009219A0" w:rsidRPr="00DC5142">
        <w:rPr>
          <w:color w:val="auto"/>
        </w:rPr>
        <w:fldChar w:fldCharType="begin"/>
      </w:r>
      <w:r w:rsidRPr="00DC5142">
        <w:rPr>
          <w:color w:val="auto"/>
        </w:rPr>
        <w:instrText xml:space="preserve"> SEQ Figure \* ARABIC </w:instrText>
      </w:r>
      <w:r w:rsidR="009219A0" w:rsidRPr="00DC5142">
        <w:rPr>
          <w:color w:val="auto"/>
        </w:rPr>
        <w:fldChar w:fldCharType="separate"/>
      </w:r>
      <w:r w:rsidRPr="00DC5142">
        <w:rPr>
          <w:noProof/>
          <w:color w:val="auto"/>
        </w:rPr>
        <w:t>3</w:t>
      </w:r>
      <w:r w:rsidR="009219A0" w:rsidRPr="00DC5142">
        <w:rPr>
          <w:color w:val="auto"/>
        </w:rPr>
        <w:fldChar w:fldCharType="end"/>
      </w:r>
      <w:bookmarkEnd w:id="2"/>
      <w:r w:rsidRPr="00DC5142">
        <w:rPr>
          <w:color w:val="auto"/>
        </w:rPr>
        <w:t xml:space="preserve"> - Flat CSV file showing data from survey</w:t>
      </w:r>
    </w:p>
    <w:p w:rsidR="00E00076" w:rsidRDefault="00E00076" w:rsidP="00BC3956">
      <w:pPr>
        <w:jc w:val="both"/>
      </w:pPr>
      <w:r>
        <w:br/>
      </w:r>
      <w:r w:rsidR="00DC5142">
        <w:t xml:space="preserve">The next issue was how to make sense of the data.  As already noted, the first insight as a confirmation and amplification of how important this issue is to the American warfighters.  But the issues </w:t>
      </w:r>
      <w:r w:rsidR="00BD15CD">
        <w:t>themselves</w:t>
      </w:r>
      <w:r w:rsidR="00DC5142">
        <w:t xml:space="preserve"> required some more detailed consideration.  In the case of this paper, the analysis is not the main thrust of the paper, so the raw data amalgamations will be reported.  The analysis of this data or the more casual insights to be drawn therefrom is left to the reader alone.  </w:t>
      </w:r>
    </w:p>
    <w:p w:rsidR="00DC5142" w:rsidRDefault="00DC5142" w:rsidP="00BC3956">
      <w:pPr>
        <w:jc w:val="both"/>
      </w:pPr>
    </w:p>
    <w:p w:rsidR="00BD15CD" w:rsidRPr="00BD15CD" w:rsidRDefault="00BD15CD" w:rsidP="00BD15CD">
      <w:pPr>
        <w:pStyle w:val="Caption"/>
        <w:keepNext/>
        <w:jc w:val="center"/>
        <w:rPr>
          <w:color w:val="auto"/>
        </w:rPr>
      </w:pPr>
      <w:r w:rsidRPr="00BD15CD">
        <w:rPr>
          <w:color w:val="auto"/>
        </w:rPr>
        <w:t xml:space="preserve">Table </w:t>
      </w:r>
      <w:r w:rsidR="009219A0" w:rsidRPr="00BD15CD">
        <w:rPr>
          <w:color w:val="auto"/>
        </w:rPr>
        <w:fldChar w:fldCharType="begin"/>
      </w:r>
      <w:r w:rsidRPr="00BD15CD">
        <w:rPr>
          <w:color w:val="auto"/>
        </w:rPr>
        <w:instrText xml:space="preserve"> SEQ Table \* ARABIC </w:instrText>
      </w:r>
      <w:r w:rsidR="009219A0" w:rsidRPr="00BD15CD">
        <w:rPr>
          <w:color w:val="auto"/>
        </w:rPr>
        <w:fldChar w:fldCharType="separate"/>
      </w:r>
      <w:r w:rsidR="002E0D92">
        <w:rPr>
          <w:noProof/>
          <w:color w:val="auto"/>
        </w:rPr>
        <w:t>1</w:t>
      </w:r>
      <w:r w:rsidR="009219A0" w:rsidRPr="00BD15CD">
        <w:rPr>
          <w:color w:val="auto"/>
        </w:rPr>
        <w:fldChar w:fldCharType="end"/>
      </w:r>
      <w:r w:rsidRPr="00BD15CD">
        <w:rPr>
          <w:color w:val="auto"/>
        </w:rPr>
        <w:t>. Participant's Familiarity</w:t>
      </w:r>
      <w:r w:rsidR="00EB12F0">
        <w:rPr>
          <w:color w:val="auto"/>
        </w:rPr>
        <w:t xml:space="preserve"> with</w:t>
      </w:r>
      <w:r w:rsidRPr="00BD15CD">
        <w:rPr>
          <w:color w:val="auto"/>
        </w:rPr>
        <w:t xml:space="preserve"> and Use of Term</w:t>
      </w:r>
    </w:p>
    <w:tbl>
      <w:tblPr>
        <w:tblStyle w:val="TableGrid"/>
        <w:tblW w:w="9918" w:type="dxa"/>
        <w:tblLook w:val="04A0"/>
      </w:tblPr>
      <w:tblGrid>
        <w:gridCol w:w="2628"/>
        <w:gridCol w:w="2394"/>
        <w:gridCol w:w="2106"/>
        <w:gridCol w:w="2790"/>
      </w:tblGrid>
      <w:tr w:rsidR="00BD15CD" w:rsidTr="00BD15CD">
        <w:tc>
          <w:tcPr>
            <w:tcW w:w="2628" w:type="dxa"/>
          </w:tcPr>
          <w:p w:rsidR="00BD15CD" w:rsidRDefault="00BD15CD" w:rsidP="00EB12F0">
            <w:pPr>
              <w:jc w:val="both"/>
            </w:pPr>
            <w:r>
              <w:t>Familiar with term:</w:t>
            </w:r>
          </w:p>
        </w:tc>
        <w:tc>
          <w:tcPr>
            <w:tcW w:w="2394" w:type="dxa"/>
          </w:tcPr>
          <w:p w:rsidR="00BD15CD" w:rsidRDefault="00BD15CD" w:rsidP="00EB12F0">
            <w:pPr>
              <w:jc w:val="both"/>
            </w:pPr>
            <w:r>
              <w:t>Term Importance:</w:t>
            </w:r>
          </w:p>
        </w:tc>
        <w:tc>
          <w:tcPr>
            <w:tcW w:w="2106" w:type="dxa"/>
          </w:tcPr>
          <w:p w:rsidR="00BD15CD" w:rsidRDefault="00BD15CD" w:rsidP="00EB12F0">
            <w:pPr>
              <w:jc w:val="both"/>
            </w:pPr>
            <w:r>
              <w:t>Definition experience:</w:t>
            </w:r>
          </w:p>
        </w:tc>
        <w:tc>
          <w:tcPr>
            <w:tcW w:w="2790" w:type="dxa"/>
          </w:tcPr>
          <w:p w:rsidR="00BD15CD" w:rsidRDefault="00BD15CD" w:rsidP="00EB12F0">
            <w:pPr>
              <w:jc w:val="both"/>
            </w:pPr>
            <w:r>
              <w:t>Own vision of term:</w:t>
            </w:r>
          </w:p>
        </w:tc>
      </w:tr>
      <w:tr w:rsidR="00BD15CD" w:rsidTr="00BD15CD">
        <w:tc>
          <w:tcPr>
            <w:tcW w:w="2628" w:type="dxa"/>
          </w:tcPr>
          <w:p w:rsidR="00EB12F0" w:rsidRDefault="00EB12F0" w:rsidP="00BD15CD">
            <w:pPr>
              <w:jc w:val="both"/>
            </w:pPr>
            <w:r>
              <w:t xml:space="preserve">  </w:t>
            </w:r>
            <w:r w:rsidR="00BD15CD">
              <w:t>2 Never heard the word used</w:t>
            </w:r>
          </w:p>
          <w:p w:rsidR="00BD15CD" w:rsidRDefault="00EB12F0" w:rsidP="00BD15CD">
            <w:pPr>
              <w:jc w:val="both"/>
            </w:pPr>
            <w:r>
              <w:t xml:space="preserve">  </w:t>
            </w:r>
            <w:r w:rsidR="00BD15CD">
              <w:t>2 Have heard others use it;</w:t>
            </w:r>
          </w:p>
          <w:p w:rsidR="00BD15CD" w:rsidRDefault="00EB12F0" w:rsidP="00BD15CD">
            <w:pPr>
              <w:jc w:val="both"/>
            </w:pPr>
            <w:r>
              <w:t xml:space="preserve">  </w:t>
            </w:r>
            <w:r w:rsidR="00BD15CD">
              <w:t>8 Have used it a little;</w:t>
            </w:r>
          </w:p>
          <w:p w:rsidR="00BD15CD" w:rsidRDefault="00BD15CD" w:rsidP="00BD15CD">
            <w:pPr>
              <w:jc w:val="both"/>
            </w:pPr>
            <w:r>
              <w:t>15 Used it and am interested;</w:t>
            </w:r>
          </w:p>
          <w:p w:rsidR="00BD15CD" w:rsidRDefault="00EB12F0" w:rsidP="00BD15CD">
            <w:pPr>
              <w:jc w:val="both"/>
            </w:pPr>
            <w:r>
              <w:t xml:space="preserve">  </w:t>
            </w:r>
            <w:r w:rsidR="00BD15CD">
              <w:t>3 Deeply Involved;</w:t>
            </w:r>
          </w:p>
          <w:p w:rsidR="00BD15CD" w:rsidRDefault="00EB12F0" w:rsidP="00EB12F0">
            <w:pPr>
              <w:jc w:val="both"/>
            </w:pPr>
            <w:r>
              <w:t xml:space="preserve">  </w:t>
            </w:r>
            <w:r w:rsidR="00BD15CD">
              <w:t>5</w:t>
            </w:r>
            <w:r w:rsidR="00BD15CD" w:rsidRPr="00075F9C">
              <w:t xml:space="preserve"> </w:t>
            </w:r>
            <w:r w:rsidR="00BD15CD">
              <w:t>Participated in Discussion.</w:t>
            </w:r>
          </w:p>
        </w:tc>
        <w:tc>
          <w:tcPr>
            <w:tcW w:w="2394" w:type="dxa"/>
          </w:tcPr>
          <w:p w:rsidR="00BD15CD" w:rsidRDefault="00EB12F0" w:rsidP="00BD15CD">
            <w:pPr>
              <w:jc w:val="both"/>
            </w:pPr>
            <w:r>
              <w:t xml:space="preserve">  </w:t>
            </w:r>
            <w:r w:rsidR="00BD15CD">
              <w:t>5 Never Seen;</w:t>
            </w:r>
          </w:p>
          <w:p w:rsidR="00BD15CD" w:rsidRDefault="00EB12F0" w:rsidP="00BD15CD">
            <w:pPr>
              <w:jc w:val="both"/>
            </w:pPr>
            <w:r>
              <w:t xml:space="preserve">  </w:t>
            </w:r>
            <w:r w:rsidR="00BD15CD">
              <w:t>2 No Consensus;</w:t>
            </w:r>
          </w:p>
          <w:p w:rsidR="00BD15CD" w:rsidRDefault="00BD15CD" w:rsidP="00BD15CD">
            <w:pPr>
              <w:jc w:val="both"/>
            </w:pPr>
            <w:r>
              <w:t xml:space="preserve"> </w:t>
            </w:r>
            <w:r w:rsidR="00EB12F0">
              <w:t xml:space="preserve"> </w:t>
            </w:r>
            <w:r>
              <w:t>8 Competing Definitions;</w:t>
            </w:r>
          </w:p>
          <w:p w:rsidR="00BD15CD" w:rsidRDefault="00BD15CD" w:rsidP="00BD15CD">
            <w:pPr>
              <w:jc w:val="both"/>
            </w:pPr>
            <w:r>
              <w:t>11 Mine Evolving;</w:t>
            </w:r>
          </w:p>
          <w:p w:rsidR="00BD15CD" w:rsidRDefault="00EB12F0" w:rsidP="00BD15CD">
            <w:pPr>
              <w:jc w:val="both"/>
            </w:pPr>
            <w:r>
              <w:t xml:space="preserve">  </w:t>
            </w:r>
            <w:r w:rsidR="00BD15CD">
              <w:t>0 well defined consensus;</w:t>
            </w:r>
          </w:p>
          <w:p w:rsidR="00BD15CD" w:rsidRDefault="00EB12F0" w:rsidP="00BC3956">
            <w:pPr>
              <w:jc w:val="both"/>
            </w:pPr>
            <w:r>
              <w:t xml:space="preserve">  </w:t>
            </w:r>
            <w:r w:rsidR="00BD15CD">
              <w:t>0 Universal Term.</w:t>
            </w:r>
          </w:p>
        </w:tc>
        <w:tc>
          <w:tcPr>
            <w:tcW w:w="2106" w:type="dxa"/>
          </w:tcPr>
          <w:p w:rsidR="00BD15CD" w:rsidRDefault="00EB12F0" w:rsidP="00BD15CD">
            <w:pPr>
              <w:jc w:val="both"/>
            </w:pPr>
            <w:r>
              <w:t xml:space="preserve">  </w:t>
            </w:r>
            <w:r w:rsidR="00BD15CD">
              <w:t>8 Not Important;</w:t>
            </w:r>
          </w:p>
          <w:p w:rsidR="00BD15CD" w:rsidRDefault="00BD15CD" w:rsidP="00BD15CD">
            <w:pPr>
              <w:jc w:val="both"/>
            </w:pPr>
            <w:r>
              <w:t xml:space="preserve"> </w:t>
            </w:r>
            <w:r w:rsidR="00EB12F0">
              <w:t xml:space="preserve"> </w:t>
            </w:r>
            <w:r>
              <w:t>0 Interesting;</w:t>
            </w:r>
          </w:p>
          <w:p w:rsidR="00BD15CD" w:rsidRDefault="00BD15CD" w:rsidP="00BD15CD">
            <w:pPr>
              <w:jc w:val="both"/>
            </w:pPr>
            <w:r>
              <w:t>14 Useful Concept;</w:t>
            </w:r>
          </w:p>
          <w:p w:rsidR="00BD15CD" w:rsidRDefault="00BD15CD" w:rsidP="00BD15CD">
            <w:pPr>
              <w:jc w:val="both"/>
            </w:pPr>
            <w:r>
              <w:t xml:space="preserve"> </w:t>
            </w:r>
            <w:r w:rsidR="00EB12F0">
              <w:t xml:space="preserve"> </w:t>
            </w:r>
            <w:r>
              <w:t>0 Important to Others;</w:t>
            </w:r>
          </w:p>
          <w:p w:rsidR="00BD15CD" w:rsidRDefault="00EB12F0" w:rsidP="00BD15CD">
            <w:pPr>
              <w:jc w:val="both"/>
            </w:pPr>
            <w:r>
              <w:t xml:space="preserve"> </w:t>
            </w:r>
            <w:r w:rsidR="00BD15CD">
              <w:t xml:space="preserve"> 7 Important to me;</w:t>
            </w:r>
          </w:p>
          <w:p w:rsidR="00BD15CD" w:rsidRDefault="00EB12F0" w:rsidP="00EB12F0">
            <w:pPr>
              <w:jc w:val="both"/>
            </w:pPr>
            <w:r>
              <w:t xml:space="preserve"> </w:t>
            </w:r>
            <w:r w:rsidR="00BD15CD">
              <w:t xml:space="preserve"> 5</w:t>
            </w:r>
            <w:r w:rsidR="00BD15CD" w:rsidRPr="004D0D2F">
              <w:t xml:space="preserve"> </w:t>
            </w:r>
            <w:r w:rsidR="00BD15CD">
              <w:t xml:space="preserve">Vital to all. </w:t>
            </w:r>
          </w:p>
        </w:tc>
        <w:tc>
          <w:tcPr>
            <w:tcW w:w="2790" w:type="dxa"/>
          </w:tcPr>
          <w:p w:rsidR="00BD15CD" w:rsidRDefault="00EB12F0" w:rsidP="00BD15CD">
            <w:pPr>
              <w:jc w:val="both"/>
            </w:pPr>
            <w:r>
              <w:t xml:space="preserve">  </w:t>
            </w:r>
            <w:r w:rsidR="00BD15CD">
              <w:t>4 Never Considered;</w:t>
            </w:r>
          </w:p>
          <w:p w:rsidR="00BD15CD" w:rsidRDefault="00EB12F0" w:rsidP="00BD15CD">
            <w:pPr>
              <w:jc w:val="both"/>
            </w:pPr>
            <w:r>
              <w:t xml:space="preserve"> </w:t>
            </w:r>
            <w:r w:rsidR="00BD15CD">
              <w:t xml:space="preserve"> 1 Nebulous;</w:t>
            </w:r>
          </w:p>
          <w:p w:rsidR="00BD15CD" w:rsidRDefault="00BD15CD" w:rsidP="00BD15CD">
            <w:pPr>
              <w:jc w:val="both"/>
            </w:pPr>
            <w:r>
              <w:t>19 Open to new;</w:t>
            </w:r>
          </w:p>
          <w:p w:rsidR="00BD15CD" w:rsidRDefault="00EB12F0" w:rsidP="00BD15CD">
            <w:pPr>
              <w:jc w:val="both"/>
            </w:pPr>
            <w:r>
              <w:t xml:space="preserve"> </w:t>
            </w:r>
            <w:r w:rsidR="00BD15CD">
              <w:t xml:space="preserve"> 9 Will Adopt Others;</w:t>
            </w:r>
          </w:p>
          <w:p w:rsidR="00BD15CD" w:rsidRDefault="00BD15CD" w:rsidP="00BD15CD">
            <w:pPr>
              <w:jc w:val="both"/>
            </w:pPr>
            <w:r>
              <w:t>20</w:t>
            </w:r>
            <w:r w:rsidRPr="00670F83">
              <w:t xml:space="preserve"> </w:t>
            </w:r>
            <w:r>
              <w:t>Comfortable with my view;</w:t>
            </w:r>
          </w:p>
          <w:p w:rsidR="00BD15CD" w:rsidRDefault="00EB12F0" w:rsidP="00EB12F0">
            <w:pPr>
              <w:jc w:val="both"/>
            </w:pPr>
            <w:r>
              <w:t xml:space="preserve"> </w:t>
            </w:r>
            <w:r w:rsidR="00BD15CD">
              <w:t xml:space="preserve"> 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BD15CD" w:rsidRDefault="00BD15CD" w:rsidP="00BC3956">
      <w:pPr>
        <w:jc w:val="both"/>
      </w:pPr>
    </w:p>
    <w:p w:rsidR="00BD15CD" w:rsidRDefault="00BD15CD" w:rsidP="00BC3956">
      <w:pPr>
        <w:jc w:val="both"/>
      </w:pPr>
    </w:p>
    <w:p w:rsidR="00BC720F" w:rsidRDefault="00075F9C" w:rsidP="00BD15CD">
      <w:pPr>
        <w:jc w:val="both"/>
      </w:pPr>
      <w:r>
        <w:lastRenderedPageBreak/>
        <w:t xml:space="preserve"> </w:t>
      </w:r>
      <w:r w:rsidR="00BC720F">
        <w:t xml:space="preserve"> </w:t>
      </w:r>
    </w:p>
    <w:p w:rsidR="00BD15CD" w:rsidRDefault="00BD15CD" w:rsidP="00BC3956">
      <w:pPr>
        <w:jc w:val="both"/>
        <w:sectPr w:rsidR="00BD15CD" w:rsidSect="00BD15CD">
          <w:type w:val="continuous"/>
          <w:pgSz w:w="12240" w:h="15840"/>
          <w:pgMar w:top="1260" w:right="1440" w:bottom="1080" w:left="1440" w:header="0" w:footer="720" w:gutter="0"/>
          <w:cols w:num="3" w:space="90"/>
          <w:formProt w:val="0"/>
          <w:docGrid w:linePitch="272" w:charSpace="8192"/>
        </w:sectPr>
      </w:pPr>
    </w:p>
    <w:p w:rsidR="00BC720F" w:rsidRDefault="00BC720F" w:rsidP="00BC3956">
      <w:pPr>
        <w:jc w:val="both"/>
      </w:pPr>
    </w:p>
    <w:p w:rsidR="004D0D2F" w:rsidRPr="00E00076" w:rsidRDefault="004D0D2F" w:rsidP="00BC3956">
      <w:pPr>
        <w:jc w:val="both"/>
      </w:pPr>
    </w:p>
    <w:p w:rsidR="0004545F" w:rsidRDefault="00802811" w:rsidP="00BC3956">
      <w:pPr>
        <w:jc w:val="both"/>
      </w:pPr>
      <w:r>
        <w:t xml:space="preserve">And the data from the Likert Survey appears below is </w:t>
      </w:r>
      <w:r w:rsidR="009219A0">
        <w:fldChar w:fldCharType="begin"/>
      </w:r>
      <w:r>
        <w:instrText xml:space="preserve"> REF _Ref40013718 \h </w:instrText>
      </w:r>
      <w:r w:rsidR="009219A0">
        <w:fldChar w:fldCharType="separate"/>
      </w:r>
      <w:r w:rsidRPr="00BD15CD">
        <w:t xml:space="preserve">Table </w:t>
      </w:r>
      <w:r>
        <w:rPr>
          <w:noProof/>
        </w:rPr>
        <w:t>2</w:t>
      </w:r>
      <w:r w:rsidRPr="00BD15CD">
        <w:t>. Participant's Familiarity</w:t>
      </w:r>
      <w:r>
        <w:t xml:space="preserve"> with</w:t>
      </w:r>
      <w:r w:rsidRPr="00BD15CD">
        <w:t xml:space="preserve"> and Use of Term</w:t>
      </w:r>
      <w:r w:rsidR="009219A0">
        <w:fldChar w:fldCharType="end"/>
      </w:r>
      <w:r>
        <w:t>:</w:t>
      </w:r>
    </w:p>
    <w:p w:rsidR="00802811" w:rsidRDefault="00802811" w:rsidP="00BC3956">
      <w:pPr>
        <w:jc w:val="both"/>
      </w:pPr>
    </w:p>
    <w:p w:rsidR="00802811" w:rsidRPr="00BD15CD" w:rsidRDefault="00802811" w:rsidP="00802811">
      <w:pPr>
        <w:pStyle w:val="Caption"/>
        <w:keepNext/>
        <w:jc w:val="center"/>
        <w:rPr>
          <w:color w:val="auto"/>
        </w:rPr>
      </w:pPr>
      <w:bookmarkStart w:id="3" w:name="_Ref40013718"/>
      <w:r w:rsidRPr="00BD15CD">
        <w:rPr>
          <w:color w:val="auto"/>
        </w:rPr>
        <w:t xml:space="preserve">Table </w:t>
      </w:r>
      <w:r w:rsidR="009219A0" w:rsidRPr="00BD15CD">
        <w:rPr>
          <w:color w:val="auto"/>
        </w:rPr>
        <w:fldChar w:fldCharType="begin"/>
      </w:r>
      <w:r w:rsidRPr="00BD15CD">
        <w:rPr>
          <w:color w:val="auto"/>
        </w:rPr>
        <w:instrText xml:space="preserve"> SEQ Table \* ARABIC </w:instrText>
      </w:r>
      <w:r w:rsidR="009219A0" w:rsidRPr="00BD15CD">
        <w:rPr>
          <w:color w:val="auto"/>
        </w:rPr>
        <w:fldChar w:fldCharType="separate"/>
      </w:r>
      <w:r w:rsidR="002E0D92">
        <w:rPr>
          <w:noProof/>
          <w:color w:val="auto"/>
        </w:rPr>
        <w:t>2</w:t>
      </w:r>
      <w:r w:rsidR="009219A0" w:rsidRPr="00BD15CD">
        <w:rPr>
          <w:color w:val="auto"/>
        </w:rPr>
        <w:fldChar w:fldCharType="end"/>
      </w:r>
      <w:r w:rsidRPr="00BD15CD">
        <w:rPr>
          <w:color w:val="auto"/>
        </w:rPr>
        <w:t xml:space="preserve">. </w:t>
      </w:r>
      <w:bookmarkEnd w:id="3"/>
      <w:r>
        <w:rPr>
          <w:color w:val="auto"/>
        </w:rPr>
        <w:t>Likert Survey Responses</w:t>
      </w:r>
    </w:p>
    <w:tbl>
      <w:tblPr>
        <w:tblW w:w="8746" w:type="dxa"/>
        <w:tblInd w:w="85" w:type="dxa"/>
        <w:tblLook w:val="04A0"/>
      </w:tblPr>
      <w:tblGrid>
        <w:gridCol w:w="3880"/>
        <w:gridCol w:w="960"/>
        <w:gridCol w:w="960"/>
        <w:gridCol w:w="960"/>
        <w:gridCol w:w="993"/>
        <w:gridCol w:w="993"/>
      </w:tblGrid>
      <w:tr w:rsidR="00802811" w:rsidRPr="00802811" w:rsidTr="00802811">
        <w:trPr>
          <w:trHeight w:val="570"/>
        </w:trPr>
        <w:tc>
          <w:tcPr>
            <w:tcW w:w="388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802811" w:rsidRPr="0057288A" w:rsidRDefault="00802811" w:rsidP="00802811">
            <w:pPr>
              <w:rPr>
                <w:rFonts w:ascii="Arial" w:hAnsi="Arial" w:cs="Arial"/>
                <w:color w:val="000000"/>
                <w:sz w:val="18"/>
                <w:szCs w:val="22"/>
              </w:rPr>
            </w:pPr>
            <w:r w:rsidRPr="0057288A">
              <w:rPr>
                <w:rFonts w:ascii="Arial" w:hAnsi="Arial" w:cs="Arial"/>
                <w:sz w:val="18"/>
              </w:rPr>
              <w:t>=</w:t>
            </w:r>
            <w:r w:rsidRPr="0057288A">
              <w:rPr>
                <w:rFonts w:ascii="Arial" w:hAnsi="Arial" w:cs="Arial"/>
                <w:color w:val="000000"/>
                <w:sz w:val="18"/>
                <w:szCs w:val="22"/>
              </w:rPr>
              <w:t> </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Strongly Agree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Agree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Neutral</w:t>
            </w:r>
          </w:p>
        </w:tc>
        <w:tc>
          <w:tcPr>
            <w:tcW w:w="993"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Disagree</w:t>
            </w:r>
          </w:p>
        </w:tc>
        <w:tc>
          <w:tcPr>
            <w:tcW w:w="993" w:type="dxa"/>
            <w:tcBorders>
              <w:top w:val="double" w:sz="6" w:space="0" w:color="auto"/>
              <w:left w:val="nil"/>
              <w:bottom w:val="single" w:sz="8" w:space="0" w:color="auto"/>
              <w:right w:val="double" w:sz="6"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Strongly Disagree</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Critical Thinking different from Intelligence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Critical Thinking is vital</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74%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Should be factor in advancement</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No Emotionality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Disciplined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Follows hunches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Recursive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Open to Novel Ideas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43%</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Rejects Social Pressure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Relies on Intuition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29%</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9%</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Inclined to Quantify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Avoids Disruption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37%</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9%</w:t>
            </w:r>
          </w:p>
        </w:tc>
      </w:tr>
      <w:tr w:rsidR="00E16F2C" w:rsidRPr="00802811" w:rsidTr="00802811">
        <w:trPr>
          <w:trHeight w:val="315"/>
        </w:trPr>
        <w:tc>
          <w:tcPr>
            <w:tcW w:w="3880" w:type="dxa"/>
            <w:tcBorders>
              <w:top w:val="nil"/>
              <w:left w:val="double" w:sz="6" w:space="0" w:color="auto"/>
              <w:bottom w:val="double" w:sz="6"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Considers Context</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double" w:sz="6"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bl>
    <w:p w:rsidR="00802811" w:rsidRDefault="00802811" w:rsidP="00802811">
      <w:pPr>
        <w:jc w:val="center"/>
      </w:pPr>
    </w:p>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 xml:space="preserve">There are three recognized pedagogies that have shown promise in inculcating both Metacognition and Critical Thinking.  For want of a better set of terms, this paper will discuss these three: Didactic, Socratic and Constructivist.  These terms are commonly use, but just as commonly disputed as to what they mean and how they should be used. However, for this paper to proceed, it is necessary to have an understanding about the terms that are to be used.  For that reason, the following comments are offered, not to resolve the competing issues, but to define how the terms will be used.  </w:t>
      </w:r>
      <w:r w:rsidR="00B82CD3">
        <w:t xml:space="preserve">In an artificially plain language format, the Didactic method will be taken to mean that situation in which a “knowing entity” has information needed by an unknowing party and resolves that issue by telling the “unknowing entity” the needed information.  This approach is intuitive and is commonly available in the classroom and is often called the “lecture method” (Paul, </w:t>
      </w:r>
      <w:r w:rsidR="00B82CD3" w:rsidRPr="00861E0A">
        <w:rPr>
          <w:i/>
        </w:rPr>
        <w:t>et al</w:t>
      </w:r>
      <w:r w:rsidR="00B82CD3">
        <w:t xml:space="preserve">., 2019). Socrates found this method to not create the future environment for the student to learn and was unduly reliant on the teacher.  His Socratic method as based on propounding a series of challenges to the “unknowing entity”, thereby forcing them to </w:t>
      </w:r>
      <w:r w:rsidR="00096BE4">
        <w:t>learn the truth on their own and so be better able to learn things they do not know now but will need to know in the future.  This approach has many benefits, but is difficult to use and is not facile in areas such as teaching calculus, which is significantly more complex and abstract than is how to be a member of the Greek elite in 400 BC.  The last method we shall address is Constructivism.  That term will be used to identify the approach that has the “knowing entity” create a series of tasks or challenges designed to cause the “unknowing entity” to have to master the needed skills in order to achieve the identified goal.  This method can be understood to substitute the goal driven activities in a germane environment for the incisive questions of the Socratic master</w:t>
      </w:r>
      <w:r w:rsidR="00096BE4" w:rsidRPr="00096BE4">
        <w:t xml:space="preserve"> </w:t>
      </w:r>
      <w:r w:rsidR="00096BE4">
        <w:t xml:space="preserve">(Ng'ambi &amp; Johnston, 2006).  All three have their strengths, weaknesses and hazards.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  The Didactic approach is to recognize the impact of training the student to remember and invoke a set of rules.  These rules are on the order of: establish the situation, identify the challenge, consider a solution, review supporting facts for this solution, consider opposing facts, implement the solution, test, evaluate and recycle. There is some supporting evidence</w:t>
      </w:r>
      <w:r w:rsidR="00366A3F">
        <w:t xml:space="preserve"> that this track</w:t>
      </w:r>
      <w:r>
        <w:t xml:space="preserve"> </w:t>
      </w:r>
      <w:r w:rsidR="00366A3F">
        <w:t xml:space="preserve">is </w:t>
      </w:r>
      <w:r>
        <w:t xml:space="preserve">not only effective, it has been shown to be durable.  The Socratic method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366A3F">
        <w:t xml:space="preserve"> </w:t>
      </w:r>
      <w:r>
        <w:t xml:space="preserve"> </w:t>
      </w:r>
      <w:r w:rsidR="00366A3F">
        <w:t xml:space="preserve">The adherents of the Constructivist approach </w:t>
      </w:r>
      <w:r w:rsidR="00366A3F">
        <w:lastRenderedPageBreak/>
        <w:t xml:space="preserve">would not only find this more deeply founded outcome would be desirable, they would suggest that getting to the same place by putting the student into a situation not unlike that they would face outside of the walls of academe would be even more likely to find applicability in the high stress combat environment.  </w:t>
      </w:r>
    </w:p>
    <w:p w:rsidR="003D41A9" w:rsidRDefault="003D41A9" w:rsidP="000438E0">
      <w:pPr>
        <w:jc w:val="both"/>
      </w:pPr>
    </w:p>
    <w:p w:rsidR="003D41A9" w:rsidRDefault="003D41A9" w:rsidP="000438E0">
      <w:pPr>
        <w:jc w:val="both"/>
      </w:pPr>
      <w:r>
        <w:t>If these approaches are known, one may ask why they are not being implemented.</w:t>
      </w:r>
      <w:r w:rsidR="00833992">
        <w:t xml:space="preserve"> There are hurdles that must be overcome for them to work.  These hurdles may be manifold, but they must be mastered. Without meaning to establish them in a formal way the following is intended to identify the major impediments to each of the three previously listed pedagogies.  Taking them in the order mentioned above, one of the major weaknesses of the Didactic method is its focus on the Didact and the isolation of the students from the life that awaits them.  A common complaint of iconoclastic educators like John Taylor Gatto have long held that any education system that relies on the students’ satisfying the teacher will fail in imparting any sense of applicability, hence immediacy in mastering the subject at hand.  </w:t>
      </w:r>
      <w:r w:rsidR="00F35D72">
        <w:t xml:space="preserve">The manifest failure of the writing across the curriculum movement in the US is strong evidence that that teaching a skill detached from a worthy goal will not obtain after the school bell rings.  The Socratic method avoids many of those pitfalls, but every top Law School in the country will attest to the difficulty of finding competent, let alone excellent, Socratic instructors.  The other issue is the small class size required to adequately implement this method, especially in the DoD, with its hectic operations schedules and geographic dispersions.  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7A31A8" w:rsidRDefault="007A31A8" w:rsidP="000438E0">
      <w:pPr>
        <w:jc w:val="both"/>
      </w:pP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 xml:space="preserve">A major issue in this area is the lack of metrics.  </w:t>
      </w:r>
      <w:r w:rsidR="003D41A9">
        <w:t xml:space="preserve">Without metrics, it is difficult, if not impossible, to recognize whether innovative steps are having any impact. This is an extension of the lack of consensus as to what Critical Thinking means.   There are organizations that specialize in creating standards and psychometricians can </w:t>
      </w:r>
      <w:r w:rsidR="00B86C6C">
        <w:t>development</w:t>
      </w:r>
      <w:r w:rsidR="003D41A9">
        <w:t xml:space="preserve"> tools, once they are given a set of parameters on which to evaluated their instruments, but a concerted effort is required to pierce the interdisciplinary barriers still found in the military and on the campuses.</w:t>
      </w:r>
    </w:p>
    <w:p w:rsidR="005D24D9" w:rsidRPr="005D24D9" w:rsidRDefault="005D24D9"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 xml:space="preserve">There is a large and growing capability in simulation, virtual humans, global communication, and computer agents.  All of these are highly probable solutions to the hurdles and constraints mentioned above.  Before the paper examines how, it would be appropriate to outline some of these technologies, both in </w:t>
      </w:r>
      <w:r w:rsidR="00B86C6C">
        <w:t>terms</w:t>
      </w:r>
      <w:r>
        <w:t xml:space="preserve"> of where they are and where they are going.  </w:t>
      </w:r>
      <w:r w:rsidR="00191E9F">
        <w:t xml:space="preserve">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  </w:t>
      </w:r>
    </w:p>
    <w:p w:rsidR="00191E9F" w:rsidRDefault="00191E9F" w:rsidP="005D24D9">
      <w:pPr>
        <w:jc w:val="both"/>
      </w:pPr>
    </w:p>
    <w:p w:rsidR="0026778E" w:rsidRDefault="00191E9F" w:rsidP="005D24D9">
      <w:pPr>
        <w:jc w:val="both"/>
      </w:pPr>
      <w:r>
        <w:t xml:space="preserve">Current research is being driven by expanding technologies.  A seemingly unfettered stampede of new technologies replace and make obsolete technologies that the public hardly got a chance to adopt (Christensen, </w:t>
      </w:r>
      <w:r w:rsidR="00B23A79">
        <w:t xml:space="preserve">2013).  There have been advances in the responsiveness of virtual humans, the two-way transmissions of data and images with reduced latencies and increased bandwidths., Natural Language Processing improvements, and Artificial </w:t>
      </w:r>
      <w:r w:rsidR="00B86C6C">
        <w:t>Intelligence</w:t>
      </w:r>
      <w:r w:rsidR="00B23A79">
        <w:t xml:space="preserve"> advances in neural net training.  On the hardware side, General Purpose Graphics Processing Units (GPGPU’s) have provided computational headroom for additionally human-like behavior.</w:t>
      </w:r>
    </w:p>
    <w:p w:rsidR="00B23A79" w:rsidRDefault="00B23A79" w:rsidP="005D24D9">
      <w:pPr>
        <w:jc w:val="both"/>
      </w:pPr>
    </w:p>
    <w:p w:rsidR="0026778E" w:rsidRDefault="00A778BC" w:rsidP="005D24D9">
      <w:pPr>
        <w:jc w:val="both"/>
      </w:pPr>
      <w:r>
        <w:t xml:space="preserve">There are applications of these technologies in everyday use in the civilian world.  In many ways this has led the development of capabilities that the DoD can </w:t>
      </w:r>
      <w:r w:rsidR="00EC2AE7">
        <w:t>exploit</w:t>
      </w:r>
      <w:r>
        <w:t xml:space="preserve"> in real-time</w:t>
      </w:r>
      <w:r w:rsidR="00EC2AE7">
        <w:t xml:space="preserve">.  Anyone who has served in the military can tell of </w:t>
      </w:r>
      <w:r w:rsidR="009768DB">
        <w:t>occasions</w:t>
      </w:r>
      <w:r w:rsidR="00EC2AE7">
        <w:t xml:space="preserve"> in which the civilian world had better, more durable, cheaper and more useable products than the military.  Establishing the need for implementing these capabilities to address the current problems is the first step in future advances in national security.  </w:t>
      </w:r>
    </w:p>
    <w:p w:rsidR="005D24D9" w:rsidRDefault="005D24D9" w:rsidP="005D24D9"/>
    <w:p w:rsidR="00EC2AE7" w:rsidRPr="005D24D9" w:rsidRDefault="00EC2AE7" w:rsidP="005D24D9">
      <w:r>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  High resolution images and videos are available at any time via networking infrastructures.  </w:t>
      </w:r>
    </w:p>
    <w:p w:rsidR="005D24D9" w:rsidRDefault="005D24D9" w:rsidP="005D24D9">
      <w:pPr>
        <w:pStyle w:val="Heading2"/>
      </w:pPr>
      <w:r>
        <w:lastRenderedPageBreak/>
        <w:t>Emerging Technologies</w:t>
      </w:r>
    </w:p>
    <w:p w:rsidR="005D24D9" w:rsidRDefault="005D24D9" w:rsidP="005D24D9">
      <w:pPr>
        <w:jc w:val="both"/>
      </w:pPr>
    </w:p>
    <w:p w:rsidR="00D55CFF" w:rsidRDefault="00D55CFF" w:rsidP="005D24D9">
      <w:pPr>
        <w:jc w:val="both"/>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(Yao </w:t>
      </w:r>
      <w:r w:rsidRPr="00424C19">
        <w:rPr>
          <w:i/>
        </w:rPr>
        <w:t>et al</w:t>
      </w:r>
      <w:r>
        <w:t xml:space="preserve">., 2018).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  The amount of material to be input and then recursively looped through a training algorithm presents a daunting obstacle. </w:t>
      </w:r>
    </w:p>
    <w:p w:rsidR="009768DB" w:rsidRDefault="009768DB" w:rsidP="009768DB">
      <w:pPr>
        <w:pStyle w:val="SIW-Norm"/>
      </w:pPr>
    </w:p>
    <w:p w:rsidR="009768DB" w:rsidRDefault="009768DB" w:rsidP="009768DB">
      <w:pPr>
        <w:pStyle w:val="SIW-Norm"/>
      </w:pPr>
      <w:r>
        <w:t xml:space="preserve"> Deep learning, which uses layers of computational units to learn data representations at multiple levels of abstraction, has emerged as the leading methodology for developing NLP applications (Young </w:t>
      </w:r>
      <w:r w:rsidRPr="00072487">
        <w:rPr>
          <w:i/>
          <w:iCs/>
        </w:rPr>
        <w:t>et al.</w:t>
      </w:r>
      <w:r>
        <w:t xml:space="preserve">, 2018, Pouyanfar </w:t>
      </w:r>
      <w:r>
        <w:rPr>
          <w:i/>
          <w:iCs/>
        </w:rPr>
        <w:t>et al.</w:t>
      </w:r>
      <w:r>
        <w:t xml:space="preserve">, 2018). Word vector representation or word embeddings learned using neural networks capture the meaning of words by embedding similar words closer to each other in vector space (Mikolov, 2013).  Distance and relative direction of words can capture semantic meaning. The word for </w:t>
      </w:r>
      <w:r w:rsidRPr="00072487">
        <w:rPr>
          <w:i/>
          <w:iCs/>
        </w:rPr>
        <w:t>queen</w:t>
      </w:r>
      <w:r>
        <w:t xml:space="preserve"> can </w:t>
      </w:r>
      <w:r w:rsidR="00B86C6C">
        <w:t xml:space="preserve">be </w:t>
      </w:r>
      <w:r>
        <w:t xml:space="preserve">approximated using vector arithmetic: </w:t>
      </w:r>
      <w:r w:rsidRPr="00072487">
        <w:rPr>
          <w:i/>
          <w:iCs/>
        </w:rPr>
        <w:t>queen = king – man + women</w:t>
      </w:r>
      <w:r>
        <w:t xml:space="preserve">.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gates (input, output and forget gates) to regulate the flow of information (Hochreiter, 1997).  This ability to remember long distance information enables LSTM to perform well in applications like natural language translation and dialogue systems.  </w:t>
      </w:r>
    </w:p>
    <w:p w:rsidR="009768DB" w:rsidRDefault="009768DB" w:rsidP="009768DB">
      <w:pPr>
        <w:pStyle w:val="SIW-Norm"/>
      </w:pPr>
      <w:r>
        <w:t xml:space="preserve">Stochastic neural networks, or Boltzmann machines, are a type of neural network that introduces randomness into the computation units. Instead of neurons firing at fixed input thresholds, Boltzmann machines fire stochastically based on the input. These neural networks are sometimes referred to as generative networks because they learn the probability distribution of the input training data and they are able to stochastically regenerate the data. Popular generative networks, include the autoencoder, deep believe network (DBN), deep Boltzmann machine (DBM) and generative adversarial network (GAN) (Goodfellow </w:t>
      </w:r>
      <w:r>
        <w:rPr>
          <w:i/>
          <w:iCs/>
        </w:rPr>
        <w:t xml:space="preserve">et al., </w:t>
      </w:r>
      <w:r w:rsidRPr="00072487">
        <w:t>2014</w:t>
      </w:r>
      <w:r>
        <w:t xml:space="preserve">). GAN pairs a deep generative network with regular deep discriminative network. These two networks are evolved simultaneously, where the generative network creates artifacts and the discriminative network critiques the artifacts. GANs are capable of generating photo realistic faces (Karras </w:t>
      </w:r>
      <w:r>
        <w:rPr>
          <w:i/>
          <w:iCs/>
        </w:rPr>
        <w:t>et al.</w:t>
      </w:r>
      <w:r>
        <w:t xml:space="preserve">, 2019) as well as novel paintings (Elgammal </w:t>
      </w:r>
      <w:r>
        <w:rPr>
          <w:i/>
          <w:iCs/>
        </w:rPr>
        <w:t xml:space="preserve">et al., </w:t>
      </w:r>
      <w:r>
        <w:t>2017).</w:t>
      </w:r>
      <w:r w:rsidR="0057288A">
        <w:t xml:space="preserve"> </w:t>
      </w:r>
      <w:r>
        <w:t xml:space="preserve">Boltzmann machines allows for arbitrary network topology, but most generative networks forbid connection within a network layer, </w:t>
      </w:r>
      <w:r w:rsidRPr="00054A27">
        <w:rPr>
          <w:i/>
        </w:rPr>
        <w:t>i.e</w:t>
      </w:r>
      <w:r>
        <w:t xml:space="preserve">. using restricted Boltzmann machines (RBM) as layers. The reason for the restriction is to support computational efficiency. Intralayer edges introduce loops in the network which dramatically increase the training time in an undesirable manner. </w:t>
      </w:r>
    </w:p>
    <w:p w:rsidR="009768DB" w:rsidRDefault="009768DB" w:rsidP="009768DB">
      <w:pPr>
        <w:pStyle w:val="SIW-Norm"/>
      </w:pPr>
    </w:p>
    <w:p w:rsidR="009768DB" w:rsidRDefault="009768DB" w:rsidP="003845B4">
      <w:pPr>
        <w:pStyle w:val="SIW-Norm"/>
      </w:pPr>
      <w:r>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limited number of qubits and intralayer connection, we have shown that the extra representational power afforded by these extra edges can decrease the training time and improve learning (Yao </w:t>
      </w:r>
      <w:r>
        <w:rPr>
          <w:i/>
          <w:iCs/>
        </w:rPr>
        <w:t xml:space="preserve">et al., </w:t>
      </w:r>
      <w:r w:rsidR="00B86C6C">
        <w:t>2018</w:t>
      </w:r>
      <w:r>
        <w:t>).  This advance should enable more realistic and “human” virtual computer agents.</w:t>
      </w:r>
      <w:r w:rsidRPr="00A06F39">
        <w:t xml:space="preserve"> </w:t>
      </w:r>
      <w:r>
        <w:t>These advances are significantly interesting and have attracted inquiries for various agencies of the government (</w:t>
      </w:r>
      <w:r>
        <w:fldChar w:fldCharType="begin"/>
      </w:r>
      <w:r>
        <w:instrText xml:space="preserve"> REF _Ref39308318 \h </w:instrText>
      </w:r>
      <w:r>
        <w:fldChar w:fldCharType="separate"/>
      </w:r>
      <w:r w:rsidRPr="00BC68EA">
        <w:t xml:space="preserve">Figure </w:t>
      </w:r>
      <w:r w:rsidRPr="00BC68EA">
        <w:rPr>
          <w:noProof/>
        </w:rPr>
        <w:t>5</w:t>
      </w:r>
      <w:r>
        <w:fldChar w:fldCharType="end"/>
      </w:r>
      <w:r>
        <w:t>).</w:t>
      </w:r>
      <w:r w:rsidRPr="00054A27">
        <w:t xml:space="preserve"> </w:t>
      </w:r>
      <w:r>
        <w:t>who are also often have questions about the size of current quantum machines (</w:t>
      </w:r>
      <w:r>
        <w:fldChar w:fldCharType="begin"/>
      </w:r>
      <w:r>
        <w:instrText xml:space="preserve"> REF _Ref39308423 \h </w:instrText>
      </w:r>
      <w:r>
        <w:fldChar w:fldCharType="separate"/>
      </w:r>
      <w:r w:rsidRPr="00BC68EA">
        <w:t xml:space="preserve">Figure </w:t>
      </w:r>
      <w:r w:rsidRPr="00BC68EA">
        <w:rPr>
          <w:noProof/>
        </w:rPr>
        <w:t>6</w:t>
      </w:r>
      <w:r>
        <w:fldChar w:fldCharType="end"/>
      </w:r>
      <w:r>
        <w:t>.)</w:t>
      </w:r>
    </w:p>
    <w:p w:rsidR="009768DB" w:rsidRDefault="0057288A" w:rsidP="009768DB">
      <w:pPr>
        <w:pStyle w:val="SIW-Norm"/>
        <w:jc w:val="center"/>
      </w:pPr>
      <w:r>
        <w:pict>
          <v:shape id="_x0000_s1029" type="#_x0000_t202" style="width:219.95pt;height:187.1pt;mso-height-percent:200;mso-position-horizontal-relative:char;mso-position-vertical-relative:line;mso-height-percent:200;mso-width-relative:margin;mso-height-relative:margin" stroked="f">
            <v:textbox style="mso-next-textbox:#_x0000_s1029;mso-fit-shape-to-text:t">
              <w:txbxContent>
                <w:p w:rsidR="009768DB" w:rsidRDefault="009768DB" w:rsidP="009768DB">
                  <w:pPr>
                    <w:jc w:val="center"/>
                  </w:pPr>
                  <w:r>
                    <w:rPr>
                      <w:noProof/>
                    </w:rPr>
                    <w:drawing>
                      <wp:inline distT="0" distB="0" distL="0" distR="0">
                        <wp:extent cx="1845376" cy="1384032"/>
                        <wp:effectExtent l="19050" t="0" r="2474"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840631" cy="1380473"/>
                                </a:xfrm>
                                <a:prstGeom prst="rect">
                                  <a:avLst/>
                                </a:prstGeom>
                              </pic:spPr>
                            </pic:pic>
                          </a:graphicData>
                        </a:graphic>
                      </wp:inline>
                    </w:drawing>
                  </w:r>
                </w:p>
                <w:p w:rsidR="009768DB" w:rsidRPr="00BC68EA" w:rsidRDefault="009768DB" w:rsidP="009768DB">
                  <w:pPr>
                    <w:pStyle w:val="Caption"/>
                    <w:jc w:val="center"/>
                    <w:rPr>
                      <w:color w:val="auto"/>
                    </w:rPr>
                  </w:pPr>
                  <w:r w:rsidRPr="00BC68EA">
                    <w:rPr>
                      <w:color w:val="auto"/>
                    </w:rPr>
                    <w:t xml:space="preserve">Figure </w:t>
                  </w:r>
                  <w:r w:rsidRPr="00BC68EA">
                    <w:rPr>
                      <w:color w:val="auto"/>
                    </w:rPr>
                    <w:fldChar w:fldCharType="begin"/>
                  </w:r>
                  <w:r w:rsidRPr="00BC68EA">
                    <w:rPr>
                      <w:color w:val="auto"/>
                    </w:rPr>
                    <w:instrText xml:space="preserve"> SEQ Figure \* ARABIC </w:instrText>
                  </w:r>
                  <w:r w:rsidRPr="00BC68EA">
                    <w:rPr>
                      <w:color w:val="auto"/>
                    </w:rPr>
                    <w:fldChar w:fldCharType="separate"/>
                  </w:r>
                  <w:r w:rsidRPr="00BC68EA">
                    <w:rPr>
                      <w:noProof/>
                      <w:color w:val="auto"/>
                    </w:rPr>
                    <w:t>5</w:t>
                  </w:r>
                  <w:r w:rsidRPr="00BC68EA">
                    <w:rPr>
                      <w:color w:val="auto"/>
                    </w:rPr>
                    <w:fldChar w:fldCharType="end"/>
                  </w:r>
                  <w:r>
                    <w:rPr>
                      <w:color w:val="auto"/>
                    </w:rPr>
                    <w:t xml:space="preserve">. </w:t>
                  </w:r>
                  <w:r w:rsidRPr="00BC68EA">
                    <w:rPr>
                      <w:color w:val="auto"/>
                    </w:rPr>
                    <w:t xml:space="preserve"> Dr.s Yao and Lucas briefing </w:t>
                  </w:r>
                  <w:r w:rsidRPr="00BC68EA">
                    <w:rPr>
                      <w:color w:val="auto"/>
                    </w:rPr>
                    <w:br/>
                    <w:t>Asst.</w:t>
                  </w:r>
                  <w:r>
                    <w:rPr>
                      <w:color w:val="auto"/>
                    </w:rPr>
                    <w:t xml:space="preserve"> </w:t>
                  </w:r>
                  <w:r w:rsidRPr="00BC68EA">
                    <w:rPr>
                      <w:color w:val="auto"/>
                    </w:rPr>
                    <w:t>Dir Biometric identity Management, DHS</w:t>
                  </w:r>
                </w:p>
              </w:txbxContent>
            </v:textbox>
            <w10:wrap type="none"/>
            <w10:anchorlock/>
          </v:shape>
        </w:pict>
      </w:r>
      <w:r w:rsidR="009768DB">
        <w:t xml:space="preserve">  </w:t>
      </w:r>
      <w:r>
        <w:pict>
          <v:shape id="_x0000_s1028" type="#_x0000_t202" style="width:238.25pt;height:151.7pt;mso-position-horizontal-relative:char;mso-position-vertical-relative:line;mso-width-relative:margin;mso-height-relative:margin" stroked="f">
            <v:textbox style="mso-next-textbox:#_x0000_s1028">
              <w:txbxContent>
                <w:p w:rsidR="009768DB" w:rsidRDefault="009768DB" w:rsidP="009768DB">
                  <w:pPr>
                    <w:jc w:val="center"/>
                  </w:pPr>
                  <w:r>
                    <w:rPr>
                      <w:noProof/>
                    </w:rPr>
                    <w:drawing>
                      <wp:inline distT="0" distB="0" distL="0" distR="0">
                        <wp:extent cx="1869126" cy="1524336"/>
                        <wp:effectExtent l="19050" t="0" r="0" b="0"/>
                        <wp:docPr id="9" name="Picture 0" descr="YaoBoydLucasD0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BoydLucasD0Wave.jpg"/>
                                <pic:cNvPicPr/>
                              </pic:nvPicPr>
                              <pic:blipFill>
                                <a:blip r:embed="rId14"/>
                                <a:stretch>
                                  <a:fillRect/>
                                </a:stretch>
                              </pic:blipFill>
                              <pic:spPr>
                                <a:xfrm>
                                  <a:off x="0" y="0"/>
                                  <a:ext cx="1869749" cy="1524844"/>
                                </a:xfrm>
                                <a:prstGeom prst="rect">
                                  <a:avLst/>
                                </a:prstGeom>
                              </pic:spPr>
                            </pic:pic>
                          </a:graphicData>
                        </a:graphic>
                      </wp:inline>
                    </w:drawing>
                  </w:r>
                </w:p>
                <w:p w:rsidR="009768DB" w:rsidRPr="00BC68EA" w:rsidRDefault="009768DB" w:rsidP="009768DB">
                  <w:pPr>
                    <w:pStyle w:val="Caption"/>
                    <w:jc w:val="center"/>
                    <w:rPr>
                      <w:color w:val="auto"/>
                    </w:rPr>
                  </w:pPr>
                  <w:bookmarkStart w:id="4" w:name="_Ref39308423"/>
                  <w:r w:rsidRPr="00BC68EA">
                    <w:rPr>
                      <w:color w:val="auto"/>
                    </w:rPr>
                    <w:t xml:space="preserve">Figure </w:t>
                  </w:r>
                  <w:r w:rsidRPr="00BC68EA">
                    <w:rPr>
                      <w:color w:val="auto"/>
                    </w:rPr>
                    <w:fldChar w:fldCharType="begin"/>
                  </w:r>
                  <w:r w:rsidRPr="00BC68EA">
                    <w:rPr>
                      <w:color w:val="auto"/>
                    </w:rPr>
                    <w:instrText xml:space="preserve"> SEQ Figure \* ARABIC </w:instrText>
                  </w:r>
                  <w:r w:rsidRPr="00BC68EA">
                    <w:rPr>
                      <w:color w:val="auto"/>
                    </w:rPr>
                    <w:fldChar w:fldCharType="separate"/>
                  </w:r>
                  <w:r w:rsidRPr="00BC68EA">
                    <w:rPr>
                      <w:noProof/>
                      <w:color w:val="auto"/>
                    </w:rPr>
                    <w:t>6</w:t>
                  </w:r>
                  <w:r w:rsidRPr="00BC68EA">
                    <w:rPr>
                      <w:color w:val="auto"/>
                    </w:rPr>
                    <w:fldChar w:fldCharType="end"/>
                  </w:r>
                  <w:r>
                    <w:rPr>
                      <w:color w:val="auto"/>
                    </w:rPr>
                    <w:t xml:space="preserve">. </w:t>
                  </w:r>
                  <w:r w:rsidRPr="00BC68EA">
                    <w:rPr>
                      <w:color w:val="auto"/>
                    </w:rPr>
                    <w:t xml:space="preserve"> Demonstrating the scale of Quantum Annealer Case</w:t>
                  </w:r>
                  <w:bookmarkEnd w:id="4"/>
                </w:p>
              </w:txbxContent>
            </v:textbox>
            <w10:wrap type="none"/>
            <w10:anchorlock/>
          </v:shape>
        </w:pict>
      </w:r>
    </w:p>
    <w:p w:rsidR="009768DB" w:rsidRDefault="009768DB" w:rsidP="009768DB"/>
    <w:p w:rsidR="009768DB" w:rsidRDefault="009768DB" w:rsidP="009768DB">
      <w:r>
        <w:lastRenderedPageBreak/>
        <w:t>One of the issues facing both the previous work on MentorPal and the projected future work on the incarnation of the robotic warfighter is the identification, assessment and ranking of various scenarios and environments.  The prior experience of the selection of issues to be addressed will be critical as we face the problems of effectively controlling the virtual battlefield superimposed on the real battlefield. In previous work, the authors had to ascertain the corpus of questions to be asked.  They developed useful techniques for ascertaining this corpus.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t xml:space="preserve">It is the authors experience that not only are there an unfathomable plethora of military situations, technologies (Burmaogla &amp; Saritas, 2017), and organizational hierarchies, but these are becoming more dynamic, more complex and more transitory (Kott &amp; Perconti, 2018.)  In response to this ostensibly inevitable flow of new technologies over the course of a career, it seems most important to focus analyses on successful approaches more than specific platforms and units.  The insights from a system to facilitate a Squad Leader’s optimal control over a mixed unit made up of human and non-human entities may illuminate how to best approach the control of a UAV pilot over a flight of UAS aircraft.  Interoperability may not be universally feasible, but experience dictates a cautionary admonition not to become to insular and remain open to other services’ advances in the human/non-human interfaces (Gong </w:t>
      </w:r>
      <w:r w:rsidRPr="004B5574">
        <w:rPr>
          <w:i/>
        </w:rPr>
        <w:t>et al</w:t>
      </w:r>
      <w:r>
        <w:t xml:space="preserve">., 2001).  </w:t>
      </w:r>
    </w:p>
    <w:p w:rsidR="009768DB" w:rsidRDefault="009768DB" w:rsidP="009768DB">
      <w:pPr>
        <w:jc w:val="both"/>
      </w:pPr>
    </w:p>
    <w:p w:rsidR="009768DB" w:rsidRDefault="009768DB" w:rsidP="009768DB">
      <w:pPr>
        <w:jc w:val="both"/>
      </w:pPr>
      <w:r>
        <w:t xml:space="preserve">Another dimension of extensibility is the dual-use interest held by DoD research organizations.  Clearly the issues discussed in this paper would be immediately extensible into civilian first responder contexts, but that may only be the beginning, The authors hold that providing a more human-like interface, critical in high stress situations, may have similar benefits in other important functions.  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  As that term is used in this paper, a wide range of virtuality is accepted, including using computer-selected video clips of a live human.  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  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  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t xml:space="preserve">  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6F2545" w:rsidRPr="009617AF" w:rsidRDefault="006F2545" w:rsidP="006F2545">
      <w:pPr>
        <w:pStyle w:val="SIW-Norm"/>
      </w:pPr>
    </w:p>
    <w:p w:rsidR="006F2545" w:rsidRPr="009617AF" w:rsidRDefault="006F2545" w:rsidP="006F2545">
      <w:pPr>
        <w:pStyle w:val="SIW-Norm"/>
      </w:pPr>
      <w:r>
        <w:t>Applications of interest in cross reality, as a synthesis of several vitalities and reality, can use developments in the</w:t>
      </w:r>
      <w:r w:rsidRPr="009617AF">
        <w:t xml:space="preserve"> interpretation of language</w:t>
      </w:r>
      <w:r>
        <w:t xml:space="preserve"> which</w:t>
      </w:r>
      <w:r w:rsidRPr="009617AF">
        <w:t xml:space="preserve"> have been </w:t>
      </w:r>
      <w:r>
        <w:t>recently enhanced</w:t>
      </w:r>
      <w:r w:rsidRPr="009617AF">
        <w:t xml:space="preserve"> by the many researchers focusing their studies on the field. At ICT alone, progress has been made in training/learning environments </w:t>
      </w:r>
      <w:r>
        <w:t>(Kenny et al., 2007)</w:t>
      </w:r>
      <w:r w:rsidRPr="009617AF">
        <w:t xml:space="preserve">, multi-party dialogue </w:t>
      </w:r>
      <w:r>
        <w:t>(Traum &amp; Rickel, 2002)</w:t>
      </w:r>
      <w:r w:rsidRPr="009617AF">
        <w:t>, ethi</w:t>
      </w:r>
      <w:r>
        <w:t>cs and cooperation (Allwood &amp; et al., 2000)</w:t>
      </w:r>
      <w:r w:rsidRPr="009617AF">
        <w:t xml:space="preserve">, health applications </w:t>
      </w:r>
      <w:r>
        <w:t xml:space="preserve">(Rizzo </w:t>
      </w:r>
      <w:r w:rsidRPr="00CD7918">
        <w:rPr>
          <w:i/>
        </w:rPr>
        <w:t>et al</w:t>
      </w:r>
      <w:r>
        <w:t xml:space="preserve">., 2011) </w:t>
      </w:r>
      <w:r w:rsidRPr="009617AF">
        <w:t xml:space="preserve">, and representation and reasoning </w:t>
      </w:r>
      <w:r>
        <w:t xml:space="preserve">(Swartout </w:t>
      </w:r>
      <w:r w:rsidRPr="00CD7918">
        <w:rPr>
          <w:i/>
        </w:rPr>
        <w:t>et al</w:t>
      </w:r>
      <w:r>
        <w:t>., 2006)</w:t>
      </w:r>
      <w:r w:rsidRPr="009617AF">
        <w:t xml:space="preserve">. Although automated speech recognition (ASR) is far from perfect, some of the best software, “Google achieved 73.3% of exact recognized phrases with a 15.8% [Word Error Rate]” </w:t>
      </w:r>
      <w:r>
        <w:t xml:space="preserve">(Kudryavtsev </w:t>
      </w:r>
      <w:r w:rsidRPr="00CD7918">
        <w:rPr>
          <w:i/>
        </w:rPr>
        <w:t>et al.,</w:t>
      </w:r>
      <w:r>
        <w:t xml:space="preserve"> 2008)</w:t>
      </w:r>
      <w:r w:rsidRPr="009617AF">
        <w:t xml:space="preserve">, and the technology will continue to improve. It is also important to note that many of the errors in ASR are caused by slurred speech, cultural slang, and context, stemming from a “lack of </w:t>
      </w:r>
      <w:r w:rsidRPr="009617AF">
        <w:lastRenderedPageBreak/>
        <w:t xml:space="preserve">consistent units of speech that are trainable and relatively insensitive to context” </w:t>
      </w:r>
      <w:r>
        <w:t>(Lee, 1988)</w:t>
      </w:r>
      <w:r w:rsidRPr="009617AF">
        <w:t xml:space="preserve">. Although this causes problems when comparing these transcriptions with global data, models can be trained locally using software such as CMU Sphinx from Carnegie Mellon University as applied to languages such as Arabic </w:t>
      </w:r>
      <w:r>
        <w:t xml:space="preserve">(Satori, </w:t>
      </w:r>
      <w:r w:rsidRPr="00CD7918">
        <w:rPr>
          <w:i/>
        </w:rPr>
        <w:t>et al</w:t>
      </w:r>
      <w:r>
        <w:t>., 2011)</w:t>
      </w:r>
      <w:r w:rsidRPr="009617AF">
        <w:t>. All of these will continue to improve with time, as hardware, software, and data storage and availability are areas within which research is eminent and directly valuable. Specifically, the speed and application of quantum computing will engender significant advancement in NLP and its applications: one of which is the impactful area of virtual humans.</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26778E" w:rsidRDefault="00561F5F" w:rsidP="005D24D9">
      <w:pPr>
        <w:jc w:val="both"/>
      </w:pPr>
      <w:r>
        <w:t xml:space="preserve">The </w:t>
      </w:r>
      <w:r w:rsidR="0026778E">
        <w:t>SimCoach</w:t>
      </w:r>
      <w:r>
        <w:t xml:space="preserve"> saw really gratifying advances in an automated computer agent.  The SimCoach kept veterans on the phone longer for therapeutic sessions than did live counselors and the PTSD patients talked longer and about more sensitive topics.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  Mentor Pal was a different approach and the students there gave the program very high marks for “conversationality.</w:t>
      </w:r>
    </w:p>
    <w:p w:rsidR="002B1015" w:rsidRDefault="002B1015" w:rsidP="005D24D9">
      <w:pPr>
        <w:pStyle w:val="Heading2"/>
      </w:pPr>
    </w:p>
    <w:p w:rsidR="005D24D9" w:rsidRDefault="005D24D9" w:rsidP="005D24D9">
      <w:pPr>
        <w:pStyle w:val="Heading2"/>
      </w:pPr>
      <w:r>
        <w:t>Extensibility</w:t>
      </w:r>
    </w:p>
    <w:p w:rsidR="005D24D9" w:rsidRDefault="005D24D9" w:rsidP="005D24D9">
      <w:pPr>
        <w:jc w:val="both"/>
      </w:pPr>
    </w:p>
    <w:p w:rsidR="005D24D9" w:rsidRDefault="002B1015" w:rsidP="00B86C6C">
      <w:pPr>
        <w:jc w:val="both"/>
      </w:pPr>
      <w:r>
        <w:t xml:space="preserve">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  </w:t>
      </w:r>
      <w:r w:rsidR="00B86C6C">
        <w:t>Experience in such prog</w:t>
      </w:r>
      <w:r w:rsidR="00900D21">
        <w:t xml:space="preserve">rams as PALII AI have </w:t>
      </w:r>
      <w:r w:rsidR="00B86C6C">
        <w:t>experienced</w:t>
      </w:r>
      <w:r w:rsidR="00900D21">
        <w:t xml:space="preserve"> no </w:t>
      </w:r>
      <w:r w:rsidR="00B86C6C">
        <w:t>issues</w:t>
      </w:r>
      <w:r w:rsidR="00900D21">
        <w:t xml:space="preserve"> </w:t>
      </w:r>
      <w:r w:rsidR="00B86C6C">
        <w:t>prevent</w:t>
      </w:r>
      <w:r w:rsidR="00900D21">
        <w:t xml:space="preserve"> implem</w:t>
      </w:r>
      <w:r w:rsidR="00B86C6C">
        <w:t>entation.</w:t>
      </w:r>
    </w:p>
    <w:p w:rsidR="00B86C6C" w:rsidRDefault="00B86C6C" w:rsidP="00B86C6C">
      <w:pPr>
        <w:jc w:val="both"/>
      </w:pPr>
    </w:p>
    <w:p w:rsidR="00B86C6C" w:rsidRDefault="00B86C6C"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   Time, staffing and effort are needed, but there are no apparent constraints to a full implementation.  This is not to ignore the challenges to be met.  Whether using a video-clip approach or an animated avatar approach, the success cannot be guaranteed until the prototype is demonstrated.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created the data-base of potential answers.  Predicting on-screen “presence” Has always been a gamble, but the tried and true methods of the entertainment industry are here to guide these efforts.  It has been learned that vivacious and attractive people in person to person </w:t>
      </w:r>
      <w:r w:rsidR="00656380">
        <w:t xml:space="preserve">meetings typically translate well into on-screen personalities.  As the investment in creating an entire  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  The authors are aware of no data store of videos of students manifesti</w:t>
      </w:r>
      <w:r w:rsidR="00B86C6C">
        <w:t>ng</w:t>
      </w:r>
      <w:r>
        <w:t xml:space="preserve"> such an opportunity.  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 xml:space="preserve">In selecting the best pedagogical approach, one of the issues to be addressed is the duration of the impact on the subject.  Would refreshers courses be necessary?  How resilient would the behavior be in combat?  Would it e susceptible to peer pressures? </w:t>
      </w:r>
      <w:r w:rsidR="00C77DC8">
        <w:t xml:space="preserve"> Careful attention to metrics and input from professional </w:t>
      </w:r>
      <w:r w:rsidR="00B86C6C">
        <w:t>Pedagogist</w:t>
      </w:r>
      <w:r w:rsidR="00C77DC8">
        <w:t xml:space="preserve"> would be more than useful; it would be mandatory.  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metrics, would be assuring the beneficial r</w:t>
      </w:r>
      <w:r w:rsidR="00A61AAD">
        <w:t>etention of</w:t>
      </w:r>
      <w:r>
        <w:t xml:space="preserve"> and utilization of the Critical Thinking and metacognitive skills. To truly measure that metric, longitudinal studies would be required.  </w:t>
      </w:r>
      <w:r>
        <w:lastRenderedPageBreak/>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  During that session, an unexpected problem was injected into the environment, </w:t>
      </w:r>
      <w:r w:rsidR="00B86C6C">
        <w:t>e.g</w:t>
      </w:r>
      <w:r>
        <w:t xml:space="preserve">. failure of a communications </w:t>
      </w:r>
      <w:r w:rsidR="00E9493B">
        <w:t>channel</w:t>
      </w:r>
      <w:r>
        <w:t>.  Then the research team members carefully observed whet the students implemented effectiv</w:t>
      </w:r>
      <w:r w:rsidR="003F0C8B">
        <w:t xml:space="preserve">e approaches </w:t>
      </w:r>
      <w:r w:rsidR="00B86C6C">
        <w:t>of</w:t>
      </w:r>
      <w:r w:rsidR="003F0C8B">
        <w:t xml:space="preserve"> resolving the issue.  </w:t>
      </w:r>
    </w:p>
    <w:p w:rsidR="003F0C8B" w:rsidRDefault="003F0C8B" w:rsidP="005D24D9">
      <w:pPr>
        <w:jc w:val="both"/>
      </w:pPr>
    </w:p>
    <w:p w:rsidR="00A61AAD" w:rsidRDefault="003F0C8B" w:rsidP="005D24D9">
      <w:pPr>
        <w:jc w:val="both"/>
      </w:pPr>
      <w:r>
        <w:t xml:space="preserve">Yet another problem needs to be addressed.  The research team has witnessed, both during research and on </w:t>
      </w:r>
      <w:r w:rsidR="00B86C6C">
        <w:t>active</w:t>
      </w:r>
      <w:r>
        <w:t xml:space="preserve"> duty, that there is a possibility of resistance to any required program that interferes with either “down time” or the “real job.   That has been known to dramatically reduce the c</w:t>
      </w:r>
      <w:r w:rsidR="00A61AAD">
        <w:t>ommitment to utilization</w:t>
      </w:r>
      <w:r>
        <w:t xml:space="preserve"> of the training.  Similar to the </w:t>
      </w:r>
      <w:r w:rsidR="00B86C6C">
        <w:t>students’</w:t>
      </w:r>
      <w:r>
        <w:t xml:space="preserve"> view of education as having no real salubrious impact on </w:t>
      </w:r>
      <w:r w:rsidR="00B86C6C">
        <w:t>them</w:t>
      </w:r>
      <w:r>
        <w:t xml:space="preserve">, merely being a way that the system beleaguers them for no apparent reason and the goal is to finish the required training with as little effort and as little impact on their day-to-day lives.  </w:t>
      </w:r>
      <w:r w:rsidR="00E9493B">
        <w:t xml:space="preserve"> </w:t>
      </w:r>
    </w:p>
    <w:p w:rsidR="005D24D9" w:rsidRDefault="005D24D9" w:rsidP="005D24D9"/>
    <w:p w:rsidR="003F0C8B" w:rsidRDefault="003F0C8B" w:rsidP="005D24D9">
      <w:r>
        <w:t xml:space="preserve">The research team has found the following chart useful in </w:t>
      </w:r>
      <w:r w:rsidR="00B86C6C">
        <w:t>analyzing</w:t>
      </w:r>
      <w:r>
        <w:t xml:space="preserve"> the best way to proceed..  It rates the three pedagogies versus the constraints outlined above. </w:t>
      </w:r>
    </w:p>
    <w:p w:rsidR="00BF45D1" w:rsidRDefault="00BF45D1" w:rsidP="005D24D9"/>
    <w:p w:rsidR="002E0D92" w:rsidRPr="002E0D92" w:rsidRDefault="002E0D92" w:rsidP="002E0D92">
      <w:pPr>
        <w:pStyle w:val="Caption"/>
        <w:keepNext/>
        <w:jc w:val="center"/>
        <w:rPr>
          <w:color w:val="auto"/>
        </w:rPr>
      </w:pPr>
      <w:r w:rsidRPr="002E0D92">
        <w:rPr>
          <w:color w:val="auto"/>
        </w:rPr>
        <w:t xml:space="preserve">Table </w:t>
      </w:r>
      <w:r w:rsidRPr="002E0D92">
        <w:rPr>
          <w:color w:val="auto"/>
        </w:rPr>
        <w:fldChar w:fldCharType="begin"/>
      </w:r>
      <w:r w:rsidRPr="002E0D92">
        <w:rPr>
          <w:color w:val="auto"/>
        </w:rPr>
        <w:instrText xml:space="preserve"> SEQ Table \* ARABIC </w:instrText>
      </w:r>
      <w:r w:rsidRPr="002E0D92">
        <w:rPr>
          <w:color w:val="auto"/>
        </w:rPr>
        <w:fldChar w:fldCharType="separate"/>
      </w:r>
      <w:r w:rsidRPr="002E0D92">
        <w:rPr>
          <w:noProof/>
          <w:color w:val="auto"/>
        </w:rPr>
        <w:t>3</w:t>
      </w:r>
      <w:r w:rsidRPr="002E0D92">
        <w:rPr>
          <w:color w:val="auto"/>
        </w:rPr>
        <w:fldChar w:fldCharType="end"/>
      </w:r>
      <w:r w:rsidRPr="002E0D92">
        <w:rPr>
          <w:color w:val="auto"/>
        </w:rPr>
        <w:t xml:space="preserve">. Pedagogy/Hurdle </w:t>
      </w:r>
      <w:r w:rsidR="00B86C6C" w:rsidRPr="002E0D92">
        <w:rPr>
          <w:color w:val="auto"/>
        </w:rPr>
        <w:t>Matrix</w:t>
      </w:r>
    </w:p>
    <w:tbl>
      <w:tblPr>
        <w:tblStyle w:val="TableGrid"/>
        <w:tblW w:w="9533" w:type="dxa"/>
        <w:tblLook w:val="04A0"/>
      </w:tblPr>
      <w:tblGrid>
        <w:gridCol w:w="1548"/>
        <w:gridCol w:w="3060"/>
        <w:gridCol w:w="2160"/>
        <w:gridCol w:w="2765"/>
      </w:tblGrid>
      <w:tr w:rsidR="0057288A" w:rsidTr="008C6203">
        <w:tc>
          <w:tcPr>
            <w:tcW w:w="1548" w:type="dxa"/>
          </w:tcPr>
          <w:p w:rsidR="0057288A" w:rsidRDefault="0057288A" w:rsidP="0057288A">
            <w:pPr>
              <w:jc w:val="center"/>
            </w:pPr>
          </w:p>
        </w:tc>
        <w:tc>
          <w:tcPr>
            <w:tcW w:w="3060" w:type="dxa"/>
          </w:tcPr>
          <w:p w:rsidR="0057288A" w:rsidRDefault="0057288A" w:rsidP="0057288A">
            <w:pPr>
              <w:jc w:val="center"/>
            </w:pPr>
            <w:r>
              <w:t>Individualized</w:t>
            </w:r>
          </w:p>
        </w:tc>
        <w:tc>
          <w:tcPr>
            <w:tcW w:w="2160" w:type="dxa"/>
          </w:tcPr>
          <w:p w:rsidR="0057288A" w:rsidRDefault="0057288A" w:rsidP="0057288A">
            <w:pPr>
              <w:jc w:val="center"/>
            </w:pPr>
            <w:r>
              <w:t>24 X 7 Access</w:t>
            </w:r>
          </w:p>
        </w:tc>
        <w:tc>
          <w:tcPr>
            <w:tcW w:w="2765" w:type="dxa"/>
          </w:tcPr>
          <w:p w:rsidR="0057288A" w:rsidRDefault="0057288A" w:rsidP="0057288A">
            <w:pPr>
              <w:jc w:val="center"/>
            </w:pPr>
            <w:r>
              <w:t>Charismatic teacher</w:t>
            </w:r>
          </w:p>
        </w:tc>
      </w:tr>
      <w:tr w:rsidR="0057288A" w:rsidTr="008C6203">
        <w:tc>
          <w:tcPr>
            <w:tcW w:w="1548" w:type="dxa"/>
          </w:tcPr>
          <w:p w:rsidR="0057288A" w:rsidRDefault="0057288A" w:rsidP="005D24D9">
            <w:r>
              <w:t>Didactic</w:t>
            </w:r>
          </w:p>
        </w:tc>
        <w:tc>
          <w:tcPr>
            <w:tcW w:w="3060" w:type="dxa"/>
          </w:tcPr>
          <w:p w:rsidR="0057288A" w:rsidRPr="002E0D92" w:rsidRDefault="0057288A" w:rsidP="005D24D9">
            <w:pPr>
              <w:rPr>
                <w:sz w:val="18"/>
              </w:rPr>
            </w:pPr>
            <w:r w:rsidRPr="002E0D92">
              <w:rPr>
                <w:sz w:val="18"/>
              </w:rPr>
              <w:t>Classroom Size of 1; self paced</w:t>
            </w:r>
          </w:p>
        </w:tc>
        <w:tc>
          <w:tcPr>
            <w:tcW w:w="2160" w:type="dxa"/>
          </w:tcPr>
          <w:p w:rsidR="0057288A" w:rsidRPr="002E0D92" w:rsidRDefault="002E0D92" w:rsidP="005D24D9">
            <w:pPr>
              <w:rPr>
                <w:sz w:val="18"/>
              </w:rPr>
            </w:pPr>
            <w:r w:rsidRPr="002E0D92">
              <w:rPr>
                <w:sz w:val="18"/>
              </w:rPr>
              <w:t>Open class scheduling</w:t>
            </w:r>
          </w:p>
        </w:tc>
        <w:tc>
          <w:tcPr>
            <w:tcW w:w="2765" w:type="dxa"/>
          </w:tcPr>
          <w:p w:rsidR="0057288A" w:rsidRPr="002E0D92" w:rsidRDefault="002E0D92" w:rsidP="005D24D9">
            <w:pPr>
              <w:rPr>
                <w:sz w:val="18"/>
              </w:rPr>
            </w:pPr>
            <w:r>
              <w:rPr>
                <w:sz w:val="18"/>
              </w:rPr>
              <w:t>1 hero teacher; scalable to all</w:t>
            </w:r>
          </w:p>
        </w:tc>
      </w:tr>
      <w:tr w:rsidR="0057288A" w:rsidTr="008C6203">
        <w:tc>
          <w:tcPr>
            <w:tcW w:w="1548" w:type="dxa"/>
          </w:tcPr>
          <w:p w:rsidR="0057288A" w:rsidRDefault="0057288A" w:rsidP="005D24D9">
            <w:r>
              <w:t>Socratic</w:t>
            </w:r>
          </w:p>
        </w:tc>
        <w:tc>
          <w:tcPr>
            <w:tcW w:w="3060" w:type="dxa"/>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2E0D92" w:rsidP="005D24D9">
            <w:pPr>
              <w:rPr>
                <w:sz w:val="18"/>
              </w:rPr>
            </w:pPr>
            <w:r>
              <w:rPr>
                <w:sz w:val="18"/>
              </w:rPr>
              <w:t xml:space="preserve">Levels of challenge </w:t>
            </w:r>
            <w:r w:rsidR="00B86C6C">
              <w:rPr>
                <w:sz w:val="18"/>
              </w:rPr>
              <w:t>harshness</w:t>
            </w:r>
          </w:p>
        </w:tc>
      </w:tr>
      <w:tr w:rsidR="0057288A" w:rsidTr="008C6203">
        <w:tc>
          <w:tcPr>
            <w:tcW w:w="1548" w:type="dxa"/>
          </w:tcPr>
          <w:p w:rsidR="0057288A" w:rsidRDefault="0057288A" w:rsidP="005D24D9">
            <w:r>
              <w:t>Constructionist</w:t>
            </w:r>
          </w:p>
        </w:tc>
        <w:tc>
          <w:tcPr>
            <w:tcW w:w="3060" w:type="dxa"/>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5D24D9">
            <w:pPr>
              <w:rPr>
                <w:sz w:val="18"/>
              </w:rPr>
            </w:pPr>
            <w:r>
              <w:rPr>
                <w:sz w:val="18"/>
              </w:rPr>
              <w:t>Pause button on issues</w:t>
            </w:r>
          </w:p>
        </w:tc>
        <w:tc>
          <w:tcPr>
            <w:tcW w:w="2765" w:type="dxa"/>
          </w:tcPr>
          <w:p w:rsidR="0057288A" w:rsidRPr="002E0D92" w:rsidRDefault="002E0D92" w:rsidP="005D24D9">
            <w:pPr>
              <w:rPr>
                <w:sz w:val="18"/>
              </w:rPr>
            </w:pPr>
            <w:r>
              <w:rPr>
                <w:sz w:val="18"/>
              </w:rPr>
              <w:t>Different levels of coach’s support</w:t>
            </w:r>
          </w:p>
        </w:tc>
      </w:tr>
    </w:tbl>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t xml:space="preserve">Experience has shown that this approach would require a significant amount of planning  and forethought.  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DoD program manager as required capabilities.  Then there would need to be a significant Validation, Verification and Test effort.</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  Many of the programs in effect today have devolved into bureaucratic burdens, where all too often the only metric of success is class attendance. As has been suggested above, emerging technologies can address all of these issues better and in a more scalable way.  The DoD environment imposes a most challenging training situation with its </w:t>
      </w:r>
      <w:r w:rsidR="00B86C6C">
        <w:t>unpredictable</w:t>
      </w:r>
      <w:r>
        <w:t xml:space="preserve"> operations schedule, 24 hour duty cycle and globally dispersed personnel.</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7A7795">
      <w:r>
        <w:t>The authors would like to thank</w:t>
      </w:r>
      <w:r w:rsidR="00E6555F">
        <w:t xml:space="preserve"> </w:t>
      </w:r>
      <w:r w:rsidR="000F48FF">
        <w:t>USC team leaders</w:t>
      </w:r>
      <w:r w:rsidR="00E6555F">
        <w:t xml:space="preserve"> the Doctors Benjamin Nye and William Swartout for their support and </w:t>
      </w:r>
      <w:r w:rsidR="00B86C6C">
        <w:t>guidance. Much of the work reported upon herein above was conducted at the behest of the US Navy via contact 123456789,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561F5F" w:rsidRDefault="00561F5F" w:rsidP="00561F5F">
      <w:pPr>
        <w:pStyle w:val="SIW-Ref"/>
        <w:keepLines/>
        <w:numPr>
          <w:ilvl w:val="0"/>
          <w:numId w:val="0"/>
        </w:numPr>
        <w:tabs>
          <w:tab w:val="clear" w:pos="450"/>
        </w:tabs>
        <w:spacing w:before="200"/>
        <w:ind w:left="374" w:right="180" w:hanging="187"/>
      </w:pPr>
      <w:r w:rsidRPr="000915E9">
        <w:t>Allwood, J., Tr</w:t>
      </w:r>
      <w:r>
        <w:t xml:space="preserve">aum, D., &amp; Jokinen, K. (2000). </w:t>
      </w:r>
      <w:r w:rsidRPr="000915E9">
        <w:t>Co</w:t>
      </w:r>
      <w:r>
        <w:t>operation, Dialogue and Ethics.</w:t>
      </w:r>
      <w:r w:rsidRPr="000915E9">
        <w:t xml:space="preserve"> </w:t>
      </w:r>
      <w:r w:rsidRPr="00650D3D">
        <w:rPr>
          <w:i/>
        </w:rPr>
        <w:t>International Journal of Human-Computer Studies</w:t>
      </w:r>
      <w:r w:rsidRPr="000915E9">
        <w:t>, 53(6), 871-914.</w:t>
      </w:r>
    </w:p>
    <w:p w:rsidR="00561F5F" w:rsidRDefault="00B86C6C" w:rsidP="00561F5F">
      <w:pPr>
        <w:spacing w:before="200"/>
        <w:ind w:left="374" w:right="180" w:hanging="187"/>
      </w:pPr>
      <w:r w:rsidRPr="001D7A57">
        <w:t>Burmaogla</w:t>
      </w:r>
      <w:r w:rsidR="00561F5F" w:rsidRPr="001D7A57">
        <w:t xml:space="preserve">, S., &amp; </w:t>
      </w:r>
      <w:r w:rsidRPr="001D7A57">
        <w:t>Saritas</w:t>
      </w:r>
      <w:r w:rsidR="00561F5F" w:rsidRPr="001D7A57">
        <w:t xml:space="preserve">, O. (2017). Changing characteristics of warfare and the future of Military R&amp;D. </w:t>
      </w:r>
      <w:r w:rsidR="00561F5F" w:rsidRPr="001D7A57">
        <w:rPr>
          <w:i/>
        </w:rPr>
        <w:t>Technological Forecasting and Social Change</w:t>
      </w:r>
      <w:r w:rsidR="00561F5F" w:rsidRPr="001D7A57">
        <w:t>, 116, 151-161.</w:t>
      </w:r>
    </w:p>
    <w:p w:rsidR="00561F5F" w:rsidRDefault="00561F5F" w:rsidP="00561F5F">
      <w:pPr>
        <w:spacing w:before="200"/>
        <w:ind w:left="360" w:right="360" w:hanging="180"/>
      </w:pPr>
      <w:r w:rsidRPr="00B23A79">
        <w:lastRenderedPageBreak/>
        <w:t xml:space="preserve">Christensen, C. M. (2013). </w:t>
      </w:r>
      <w:r w:rsidRPr="00B23A79">
        <w:rPr>
          <w:i/>
          <w:iCs/>
        </w:rPr>
        <w:t>The innovator's dilemma: when new technologies cause great firms to fail</w:t>
      </w:r>
      <w:r w:rsidRPr="00B23A79">
        <w:t>. Harvard Business Review Press.</w:t>
      </w:r>
    </w:p>
    <w:p w:rsidR="00561F5F" w:rsidRDefault="00561F5F" w:rsidP="00561F5F">
      <w:pPr>
        <w:pStyle w:val="Refs-SIW"/>
        <w:keepLines/>
        <w:numPr>
          <w:ilvl w:val="0"/>
          <w:numId w:val="0"/>
        </w:numPr>
        <w:spacing w:before="200"/>
        <w:ind w:left="374" w:right="360" w:hanging="187"/>
      </w:pPr>
      <w:r>
        <w:t xml:space="preserve">Clausewitz, von, C., (1832, re-pub 2007) </w:t>
      </w:r>
      <w:r>
        <w:rPr>
          <w:i/>
        </w:rPr>
        <w:t>On War</w:t>
      </w:r>
      <w:r>
        <w:t>, Create Space, New York, New York.</w:t>
      </w:r>
    </w:p>
    <w:p w:rsidR="00561F5F" w:rsidRDefault="00561F5F" w:rsidP="00561F5F">
      <w:pPr>
        <w:spacing w:before="200"/>
        <w:ind w:left="374" w:right="180" w:hanging="187"/>
      </w:pPr>
      <w:r w:rsidRPr="000915E9">
        <w:t>Collobert, R., &amp; Weston, J. (2008, July). A unified architecture for natural language processing: Deep neural networks with multitask learning.</w:t>
      </w:r>
      <w:r>
        <w:t xml:space="preserve"> </w:t>
      </w:r>
      <w:r w:rsidRPr="000915E9">
        <w:t xml:space="preserve">In Proceedings of the </w:t>
      </w:r>
      <w:r w:rsidRPr="003C2C05">
        <w:rPr>
          <w:i/>
        </w:rPr>
        <w:t>25</w:t>
      </w:r>
      <w:r w:rsidRPr="003C2C05">
        <w:rPr>
          <w:i/>
          <w:vertAlign w:val="superscript"/>
        </w:rPr>
        <w:t>th</w:t>
      </w:r>
      <w:r w:rsidRPr="003C2C05">
        <w:rPr>
          <w:i/>
        </w:rPr>
        <w:t xml:space="preserve"> International Conference on Machine Learning</w:t>
      </w:r>
    </w:p>
    <w:p w:rsidR="00561F5F" w:rsidRDefault="00561F5F"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BF45D1" w:rsidRDefault="00BF45D1" w:rsidP="00561F5F">
      <w:pPr>
        <w:pStyle w:val="Refs-SIW"/>
        <w:keepLines/>
        <w:numPr>
          <w:ilvl w:val="0"/>
          <w:numId w:val="0"/>
        </w:numPr>
        <w:spacing w:before="200"/>
        <w:ind w:left="374" w:right="360" w:hanging="187"/>
      </w:pPr>
      <w:r w:rsidRPr="00BF45D1">
        <w:t xml:space="preserve">Davis, D. M., Rosenberg, M., Davis, M.C., Burns, D.P., Jaksha, E., &amp; Guizani, I. (2020). Proactive Natural Language Processing: Addressing Terminology Disparity and Team Coalescence. In the Proceedings of the </w:t>
      </w:r>
      <w:r w:rsidRPr="00BF45D1">
        <w:rPr>
          <w:i/>
        </w:rPr>
        <w:t>SISO Simulation Innovation Workshop.</w:t>
      </w:r>
      <w:r w:rsidRPr="00BF45D1">
        <w:t xml:space="preserve"> Orlando, Florida:SISO</w:t>
      </w:r>
    </w:p>
    <w:p w:rsidR="00561F5F" w:rsidRDefault="00561F5F"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D.C. Heath and Company. Lexington, MA.  p 95.</w:t>
      </w:r>
    </w:p>
    <w:p w:rsidR="00561F5F" w:rsidRDefault="00561F5F" w:rsidP="00561F5F">
      <w:pPr>
        <w:keepLines/>
        <w:spacing w:before="200"/>
        <w:ind w:left="374" w:right="180" w:hanging="187"/>
      </w:pPr>
      <w:r>
        <w:t xml:space="preserve">Edwards, M. (2019). </w:t>
      </w:r>
      <w:r>
        <w:rPr>
          <w:i/>
          <w:iCs/>
        </w:rPr>
        <w:t>High School Teachers' Perceptions of Developing Critical Thinkers via the Socratic Method</w:t>
      </w:r>
      <w:r>
        <w:t xml:space="preserve"> (Doctoral dissertation, Walden University).</w:t>
      </w:r>
    </w:p>
    <w:p w:rsidR="00561F5F" w:rsidRDefault="00561F5F" w:rsidP="00561F5F">
      <w:pPr>
        <w:spacing w:before="200"/>
        <w:ind w:left="374" w:right="180" w:hanging="187"/>
      </w:pPr>
      <w:r>
        <w:t xml:space="preserve">Elgammal, A., Liu, B., Elhoseiny, M., &amp; Mazzone, M. (2017). CAN: Creative adversarial networks, generating" art" by learning about styles and deviating from style norms. </w:t>
      </w:r>
      <w:r>
        <w:rPr>
          <w:i/>
          <w:iCs/>
        </w:rPr>
        <w:t>arXiv preprint arXiv:1706.07068</w:t>
      </w:r>
      <w:r>
        <w:t>.</w:t>
      </w:r>
    </w:p>
    <w:p w:rsidR="00561F5F" w:rsidRDefault="00561F5F"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p906-11 .</w:t>
      </w:r>
    </w:p>
    <w:p w:rsidR="00561F5F" w:rsidRDefault="00561F5F" w:rsidP="00561F5F">
      <w:pPr>
        <w:spacing w:before="200"/>
        <w:ind w:left="374" w:right="180" w:hanging="187"/>
      </w:pPr>
      <w:r>
        <w:t xml:space="preserve">Gong, L., Nass, C., Simard, C., &amp; Takhteyev, Y. (2001). When non-human is better than semihuman: Consistency in speech interfaces. </w:t>
      </w:r>
      <w:r>
        <w:rPr>
          <w:i/>
          <w:iCs/>
        </w:rPr>
        <w:t>Usability evaluation and interface design: Cognitive engineering, intelligent agents, and virtual reality</w:t>
      </w:r>
      <w:r>
        <w:t>, 1558-1562.</w:t>
      </w:r>
    </w:p>
    <w:p w:rsidR="00561F5F" w:rsidRDefault="00561F5F" w:rsidP="00561F5F">
      <w:pPr>
        <w:pStyle w:val="SIW-Ref"/>
        <w:keepLines/>
        <w:numPr>
          <w:ilvl w:val="0"/>
          <w:numId w:val="0"/>
        </w:numPr>
        <w:tabs>
          <w:tab w:val="clear" w:pos="450"/>
        </w:tabs>
        <w:spacing w:before="200"/>
        <w:ind w:left="374" w:right="180" w:hanging="187"/>
      </w:pPr>
      <w:r>
        <w:t xml:space="preserve">ICT, (2019). </w:t>
      </w:r>
      <w:r w:rsidRPr="000E543B">
        <w:rPr>
          <w:i/>
        </w:rPr>
        <w:t>Virtual Humans</w:t>
      </w:r>
      <w:r>
        <w:t xml:space="preserve">, Retrieved 17 February 2019 from: </w:t>
      </w:r>
      <w:r w:rsidRPr="000E543B">
        <w:t>http://ict.usc.edu/groups/virtual-humans/</w:t>
      </w:r>
    </w:p>
    <w:p w:rsidR="00561F5F" w:rsidRDefault="00561F5F" w:rsidP="00561F5F">
      <w:pPr>
        <w:spacing w:before="200"/>
        <w:ind w:left="374" w:right="180" w:hanging="187"/>
      </w:pPr>
      <w:r>
        <w:t xml:space="preserve">Karras, T., Laine, S., &amp; Aila, T. (2019). A style-based generator architecture for generative adversarial networks. In </w:t>
      </w:r>
      <w:r w:rsidR="003845B4">
        <w:rPr>
          <w:i/>
          <w:iCs/>
        </w:rPr>
        <w:t xml:space="preserve">Proceedings of </w:t>
      </w:r>
      <w:r>
        <w:rPr>
          <w:i/>
          <w:iCs/>
        </w:rPr>
        <w:t>IEEE Conference on Computer Vision and Pattern Recognition</w:t>
      </w:r>
      <w:r>
        <w:t xml:space="preserve"> (pp. 4401-4410).</w:t>
      </w:r>
    </w:p>
    <w:p w:rsidR="00561F5F" w:rsidRDefault="00561F5F" w:rsidP="00561F5F">
      <w:pPr>
        <w:spacing w:before="200"/>
        <w:ind w:left="374" w:right="180" w:hanging="187"/>
      </w:pPr>
      <w:r w:rsidRPr="001D7A57">
        <w:t>Kott, A., &amp; Perconti, P. (2018). Long-term forecasts of military technologies for a 20–30 year horizon: An empirical assessment of accuracy. Technological Forecasting and Social Change, 137, 272-279.</w:t>
      </w:r>
    </w:p>
    <w:p w:rsidR="00561F5F" w:rsidRDefault="00561F5F" w:rsidP="00561F5F">
      <w:pPr>
        <w:spacing w:before="200"/>
        <w:ind w:left="374" w:right="180" w:hanging="187"/>
      </w:pPr>
      <w:r>
        <w:t>Kubrick, S. (1968). 2001: a space odyssey.</w:t>
      </w:r>
    </w:p>
    <w:p w:rsidR="00561F5F" w:rsidRDefault="00561F5F" w:rsidP="00561F5F">
      <w:pPr>
        <w:pStyle w:val="Refs-SIW"/>
        <w:keepLines/>
        <w:numPr>
          <w:ilvl w:val="0"/>
          <w:numId w:val="0"/>
        </w:numPr>
        <w:spacing w:before="200"/>
        <w:ind w:left="374" w:right="360" w:hanging="187"/>
      </w:pPr>
      <w:r>
        <w:t xml:space="preserve">Mahan, A.T., (1890). </w:t>
      </w:r>
      <w:r>
        <w:rPr>
          <w:i/>
        </w:rPr>
        <w:t>The Influence of Sea Power Upon History, 1660-1783</w:t>
      </w:r>
      <w:r>
        <w:t>. Little Brown and Company, Boston, Massachusetts</w:t>
      </w:r>
    </w:p>
    <w:p w:rsidR="00561F5F" w:rsidRDefault="00561F5F" w:rsidP="00561F5F">
      <w:pPr>
        <w:pStyle w:val="Refs-SIW"/>
        <w:keepLines/>
        <w:numPr>
          <w:ilvl w:val="0"/>
          <w:numId w:val="0"/>
        </w:numPr>
        <w:spacing w:before="200"/>
        <w:ind w:left="374" w:right="360" w:hanging="187"/>
      </w:pPr>
      <w:r>
        <w:t xml:space="preserve">Mathematics Educator, (2020). Is Metacognition ever bad?. Retrieved on 22 March 2020 from: </w:t>
      </w:r>
      <w:r w:rsidRPr="004A61A8">
        <w:t>https://matheducators.stackexchange.com/questions/10939/is-metacognition-ever-bad</w:t>
      </w:r>
      <w:r>
        <w:t xml:space="preserve">. </w:t>
      </w:r>
    </w:p>
    <w:p w:rsidR="00561F5F" w:rsidRDefault="00561F5F" w:rsidP="00561F5F">
      <w:pPr>
        <w:keepLines/>
        <w:spacing w:before="200"/>
        <w:ind w:left="374" w:right="180" w:hanging="187"/>
      </w:pPr>
      <w:r>
        <w:t xml:space="preserve">Ng'ambi, D., &amp; Johnston, K. (2006). An ICT-mediated Constructivist Approach for increasing academic support and teaching critical thinking skills. </w:t>
      </w:r>
      <w:r>
        <w:rPr>
          <w:i/>
          <w:iCs/>
        </w:rPr>
        <w:t>Educational Technology &amp; Society</w:t>
      </w:r>
      <w:r>
        <w:t xml:space="preserve">, </w:t>
      </w:r>
      <w:r>
        <w:rPr>
          <w:i/>
          <w:iCs/>
        </w:rPr>
        <w:t>9</w:t>
      </w:r>
      <w:r>
        <w:t>(3), 244-253.</w:t>
      </w:r>
    </w:p>
    <w:p w:rsidR="00561F5F" w:rsidRDefault="00561F5F" w:rsidP="00561F5F">
      <w:pPr>
        <w:keepLines/>
        <w:spacing w:before="200"/>
        <w:ind w:left="374" w:right="180" w:hanging="187"/>
      </w:pPr>
      <w:r>
        <w:t xml:space="preserve">Noy, C. (2008). Sampling knowledge: The hermeneutics of snowball sampling in qualitative research. </w:t>
      </w:r>
      <w:r>
        <w:rPr>
          <w:i/>
          <w:iCs/>
        </w:rPr>
        <w:t>International Journal of social research methodology</w:t>
      </w:r>
      <w:r>
        <w:t xml:space="preserve">, </w:t>
      </w:r>
      <w:r>
        <w:rPr>
          <w:i/>
          <w:iCs/>
        </w:rPr>
        <w:t>11</w:t>
      </w:r>
      <w:r>
        <w:t>(4), 327-344.</w:t>
      </w:r>
    </w:p>
    <w:p w:rsidR="00561F5F" w:rsidRDefault="00561F5F"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eal -Life STEM Professionals." I</w:t>
      </w:r>
      <w:r w:rsidRPr="001E687B">
        <w:t xml:space="preserve">n the </w:t>
      </w:r>
      <w:r w:rsidRPr="00DC221F">
        <w:rPr>
          <w:i/>
        </w:rPr>
        <w:t>Proceedings of the Interservice/Industry Simulation, Training and Education Conference</w:t>
      </w:r>
      <w:r>
        <w:t>.</w:t>
      </w:r>
      <w:r w:rsidRPr="00DC221F">
        <w:t xml:space="preserve"> </w:t>
      </w:r>
      <w:r w:rsidRPr="001E687B">
        <w:t>2017.</w:t>
      </w:r>
    </w:p>
    <w:p w:rsidR="00561F5F" w:rsidRDefault="00561F5F" w:rsidP="00561F5F">
      <w:pPr>
        <w:keepLines/>
        <w:spacing w:before="200"/>
        <w:ind w:left="374" w:right="180" w:hanging="187"/>
        <w:rPr>
          <w:iCs/>
        </w:rPr>
      </w:pPr>
      <w:r>
        <w:t xml:space="preserve">Paul, R., Elder, L., &amp; Bartell, T. (1997). A </w:t>
      </w:r>
      <w:r w:rsidRPr="00861E0A">
        <w:rPr>
          <w:i/>
        </w:rPr>
        <w:t>brief history of the idea of critical thinking.</w:t>
      </w:r>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561F5F" w:rsidRDefault="00561F5F" w:rsidP="00561F5F">
      <w:pPr>
        <w:spacing w:before="200"/>
        <w:ind w:left="374" w:right="180" w:hanging="187"/>
      </w:pPr>
      <w:r w:rsidRPr="000915E9">
        <w:lastRenderedPageBreak/>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561F5F" w:rsidRDefault="00561F5F" w:rsidP="00561F5F">
      <w:pPr>
        <w:spacing w:before="200"/>
        <w:ind w:left="374" w:right="180" w:hanging="187"/>
      </w:pPr>
      <w:r w:rsidRPr="000915E9">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561F5F" w:rsidRDefault="00561F5F" w:rsidP="00561F5F">
      <w:pPr>
        <w:pStyle w:val="Refs-SIW"/>
        <w:keepLines/>
        <w:numPr>
          <w:ilvl w:val="0"/>
          <w:numId w:val="0"/>
        </w:numPr>
        <w:spacing w:before="200"/>
        <w:ind w:left="374" w:right="360" w:hanging="187"/>
      </w:pPr>
      <w:r>
        <w:t xml:space="preserve">Romainville, M. (1994).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561F5F" w:rsidRDefault="00561F5F" w:rsidP="00561F5F">
      <w:pPr>
        <w:pStyle w:val="Refs-SIW"/>
        <w:keepLines/>
        <w:numPr>
          <w:ilvl w:val="0"/>
          <w:numId w:val="0"/>
        </w:numPr>
        <w:spacing w:before="200"/>
        <w:ind w:left="374" w:right="360" w:hanging="187"/>
      </w:pPr>
      <w:r>
        <w:t xml:space="preserve">Scales, R.H., (1976). </w:t>
      </w:r>
      <w:r>
        <w:rPr>
          <w:i/>
        </w:rPr>
        <w:t>Artillery in Small Wars, the Evolution of British Artillery Doctrine, 1860-1914</w:t>
      </w:r>
      <w:r>
        <w:t>, (Doctoral dissertation, Duke University, 1976). ProQuest.</w:t>
      </w:r>
    </w:p>
    <w:p w:rsidR="00561F5F" w:rsidRDefault="00561F5F" w:rsidP="00561F5F">
      <w:pPr>
        <w:pStyle w:val="Refs-SIW"/>
        <w:keepLines/>
        <w:numPr>
          <w:ilvl w:val="0"/>
          <w:numId w:val="0"/>
        </w:numPr>
        <w:spacing w:before="200"/>
        <w:ind w:left="374" w:right="360" w:hanging="187"/>
      </w:pPr>
      <w:r>
        <w:t xml:space="preserve">Shakespeare, W. (1599). </w:t>
      </w:r>
      <w:r>
        <w:rPr>
          <w:i/>
        </w:rPr>
        <w:t>The Chronicle History of Henry the Fifth</w:t>
      </w:r>
      <w:r>
        <w:t xml:space="preserve">. Act III, Scene II, Lines 1187 -1264, Retrieved on 10 July 2001 from </w:t>
      </w:r>
      <w:r w:rsidRPr="00DD5F06">
        <w:t>http://shakespeare.mit.edu/henryv/full.html</w:t>
      </w:r>
      <w:r>
        <w:t xml:space="preserve"> .</w:t>
      </w:r>
    </w:p>
    <w:p w:rsidR="00561F5F" w:rsidRPr="00DC7CAD" w:rsidRDefault="00561F5F" w:rsidP="00561F5F">
      <w:pPr>
        <w:spacing w:before="200"/>
        <w:ind w:left="374" w:right="180" w:hanging="187"/>
      </w:pPr>
      <w:r w:rsidRPr="00033BDE">
        <w:t>Shaw, K., Davis, D.M., Rizvi, S.Z., &amp; Davis, M.C. (2019). Quantum Computing: Evaluating Potential Quantification of Projective Psychological Test Scoring. In the Proceedings of the ModSim World Conference. Norfolk, Virginia</w:t>
      </w:r>
    </w:p>
    <w:p w:rsidR="00561F5F" w:rsidRDefault="00561F5F"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561F5F" w:rsidRDefault="00561F5F" w:rsidP="00561F5F">
      <w:pPr>
        <w:pStyle w:val="Refs-SIW"/>
        <w:keepLines/>
        <w:numPr>
          <w:ilvl w:val="0"/>
          <w:numId w:val="0"/>
        </w:numPr>
        <w:spacing w:before="200"/>
        <w:ind w:left="374" w:right="360" w:hanging="187"/>
      </w:pPr>
      <w:r>
        <w:t xml:space="preserve">Tetlock, P. E., &amp; Gardner, D. (2016). </w:t>
      </w:r>
      <w:r>
        <w:rPr>
          <w:i/>
          <w:iCs/>
        </w:rPr>
        <w:t>Superforecasting: The art and science of prediction</w:t>
      </w:r>
      <w:r>
        <w:t>. Random House.</w:t>
      </w:r>
    </w:p>
    <w:p w:rsidR="00561F5F" w:rsidRDefault="00561F5F" w:rsidP="00561F5F">
      <w:pPr>
        <w:pStyle w:val="Refs-SIW"/>
        <w:keepLines/>
        <w:numPr>
          <w:ilvl w:val="0"/>
          <w:numId w:val="0"/>
        </w:numPr>
        <w:spacing w:before="200"/>
        <w:ind w:left="374" w:right="360" w:hanging="187"/>
      </w:pPr>
      <w:r>
        <w:t xml:space="preserve">Tolstoy, L. (2008). </w:t>
      </w:r>
      <w:r>
        <w:rPr>
          <w:i/>
          <w:iCs/>
        </w:rPr>
        <w:t>War and peace</w:t>
      </w:r>
      <w:r>
        <w:t>. Vintage Classics, New York, New York. First published in 1869.</w:t>
      </w:r>
    </w:p>
    <w:p w:rsidR="00561F5F" w:rsidRDefault="00561F5F" w:rsidP="00561F5F">
      <w:pPr>
        <w:pStyle w:val="SIW-Ref"/>
        <w:keepLines/>
        <w:numPr>
          <w:ilvl w:val="0"/>
          <w:numId w:val="0"/>
        </w:numPr>
        <w:tabs>
          <w:tab w:val="clear" w:pos="450"/>
        </w:tabs>
        <w:spacing w:before="200"/>
        <w:ind w:left="374" w:right="180" w:hanging="187"/>
        <w:rPr>
          <w:bCs/>
        </w:rPr>
      </w:pPr>
      <w:r w:rsidRPr="000915E9">
        <w:t>Traum, D., &amp; Rickel, J. (2002, July</w:t>
      </w:r>
      <w:r>
        <w:t xml:space="preserve">). </w:t>
      </w:r>
      <w:r w:rsidRPr="000915E9">
        <w:t>Embodied agents for multi-party dialog</w:t>
      </w:r>
      <w:r>
        <w:t>ue in immersive virtual worlds.</w:t>
      </w:r>
      <w:r w:rsidRPr="000915E9">
        <w:t xml:space="preserve"> In Proceedings of the </w:t>
      </w:r>
      <w:r>
        <w:rPr>
          <w:i/>
        </w:rPr>
        <w:t>First International Joint Conference on Autonomous Agents and Multiagent S</w:t>
      </w:r>
      <w:r w:rsidRPr="00592083">
        <w:rPr>
          <w:i/>
        </w:rPr>
        <w:t>ystems</w:t>
      </w:r>
      <w:r w:rsidRPr="000915E9">
        <w:t>: part 2 (pp. 766-773). ACM.</w:t>
      </w:r>
    </w:p>
    <w:p w:rsidR="00561F5F" w:rsidRDefault="00561F5F" w:rsidP="00561F5F">
      <w:pPr>
        <w:keepLines/>
        <w:spacing w:before="200"/>
        <w:ind w:left="374" w:right="180" w:hanging="187"/>
      </w:pPr>
      <w:r w:rsidRPr="006725F6">
        <w:t>Visser, Jan</w:t>
      </w:r>
      <w:r>
        <w:t xml:space="preserve"> &amp;</w:t>
      </w:r>
      <w:r w:rsidRPr="006725F6">
        <w:t xml:space="preserve"> Visser, Muriel (2019). Seeking </w:t>
      </w:r>
      <w:r w:rsidRPr="006725F6">
        <w:rPr>
          <w:i/>
        </w:rPr>
        <w:t>Understanding: The Lifelong Pursuit to Build the Scientific Mind</w:t>
      </w:r>
      <w:r w:rsidRPr="006725F6">
        <w:t>. Leiden: BRILL.</w:t>
      </w:r>
    </w:p>
    <w:p w:rsidR="00561F5F" w:rsidRDefault="00561F5F" w:rsidP="00561F5F">
      <w:pPr>
        <w:keepLines/>
        <w:spacing w:before="200"/>
        <w:ind w:left="374" w:right="180" w:hanging="187"/>
      </w:pPr>
      <w:r>
        <w:t xml:space="preserve">Wiktionary, (2020). </w:t>
      </w:r>
      <w:r w:rsidRPr="004E7758">
        <w:rPr>
          <w:i/>
        </w:rPr>
        <w:t>Critical thinking</w:t>
      </w:r>
      <w:r>
        <w:t xml:space="preserve">.  Retrieved on 18 April 2020 from: </w:t>
      </w:r>
      <w:r w:rsidRPr="004E7758">
        <w:t>https://en.wiktionary.org/wiki/critical_thinking</w:t>
      </w:r>
      <w:r>
        <w:t>.</w:t>
      </w:r>
    </w:p>
    <w:p w:rsidR="00561F5F" w:rsidRPr="00561F5F" w:rsidRDefault="00561F5F" w:rsidP="00561F5F">
      <w:pPr>
        <w:spacing w:before="200"/>
        <w:ind w:left="374" w:right="180" w:hanging="187"/>
      </w:pPr>
      <w:r>
        <w:t xml:space="preserve">Withers, C. W. (2008). </w:t>
      </w:r>
      <w:r>
        <w:t>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561F5F" w:rsidRDefault="00561F5F" w:rsidP="00561F5F">
      <w:pPr>
        <w:spacing w:before="200"/>
        <w:ind w:left="374" w:right="180" w:hanging="187"/>
      </w:pPr>
      <w:r>
        <w:t>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E04504" w:rsidRDefault="00E04504" w:rsidP="007A7795">
      <w:pPr>
        <w:ind w:left="360" w:right="180" w:hanging="180"/>
      </w:pP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676B" w:rsidRDefault="0012676B" w:rsidP="004B4C30">
      <w:r>
        <w:separator/>
      </w:r>
    </w:p>
  </w:endnote>
  <w:endnote w:type="continuationSeparator" w:id="0">
    <w:p w:rsidR="0012676B" w:rsidRDefault="0012676B"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Footer"/>
      <w:tabs>
        <w:tab w:val="clear" w:pos="8640"/>
        <w:tab w:val="right" w:pos="10080"/>
      </w:tabs>
    </w:pPr>
    <w:r>
      <w:rPr>
        <w:i/>
        <w:sz w:val="18"/>
        <w:szCs w:val="18"/>
      </w:rPr>
      <w:t xml:space="preserve">2020 Paper No. 20299 Page </w:t>
    </w:r>
    <w:r>
      <w:rPr>
        <w:i/>
        <w:sz w:val="18"/>
        <w:szCs w:val="18"/>
      </w:rPr>
      <w:fldChar w:fldCharType="begin"/>
    </w:r>
    <w:r>
      <w:rPr>
        <w:i/>
        <w:sz w:val="18"/>
        <w:szCs w:val="18"/>
      </w:rPr>
      <w:instrText>PAGE</w:instrText>
    </w:r>
    <w:r>
      <w:rPr>
        <w:i/>
        <w:sz w:val="18"/>
        <w:szCs w:val="18"/>
      </w:rPr>
      <w:fldChar w:fldCharType="separate"/>
    </w:r>
    <w:r w:rsidR="008C6203">
      <w:rPr>
        <w:i/>
        <w:noProof/>
        <w:sz w:val="18"/>
        <w:szCs w:val="18"/>
      </w:rPr>
      <w:t>13</w:t>
    </w:r>
    <w:r>
      <w:rPr>
        <w:i/>
        <w:sz w:val="18"/>
        <w:szCs w:val="18"/>
      </w:rPr>
      <w:fldChar w:fldCharType="end"/>
    </w:r>
    <w:r>
      <w:rPr>
        <w:i/>
        <w:sz w:val="18"/>
        <w:szCs w:val="18"/>
      </w:rPr>
      <w:t xml:space="preserve"> of </w:t>
    </w:r>
    <w:r>
      <w:rPr>
        <w:i/>
        <w:sz w:val="18"/>
        <w:szCs w:val="18"/>
      </w:rPr>
      <w:fldChar w:fldCharType="begin"/>
    </w:r>
    <w:r>
      <w:rPr>
        <w:i/>
        <w:sz w:val="18"/>
        <w:szCs w:val="18"/>
      </w:rPr>
      <w:instrText>NUMPAGES</w:instrText>
    </w:r>
    <w:r>
      <w:rPr>
        <w:i/>
        <w:sz w:val="18"/>
        <w:szCs w:val="18"/>
      </w:rPr>
      <w:fldChar w:fldCharType="separate"/>
    </w:r>
    <w:r w:rsidR="008C6203">
      <w:rPr>
        <w:i/>
        <w:noProof/>
        <w:sz w:val="18"/>
        <w:szCs w:val="18"/>
      </w:rPr>
      <w:t>15</w:t>
    </w:r>
    <w:r>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676B" w:rsidRDefault="0012676B" w:rsidP="004B4C30">
      <w:r>
        <w:separator/>
      </w:r>
    </w:p>
  </w:footnote>
  <w:footnote w:type="continuationSeparator" w:id="0">
    <w:p w:rsidR="0012676B" w:rsidRDefault="0012676B"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Header"/>
      <w:ind w:right="-90"/>
      <w:jc w:val="right"/>
      <w:rPr>
        <w:i/>
        <w:iCs/>
        <w:sz w:val="16"/>
      </w:rPr>
    </w:pPr>
  </w:p>
  <w:p w:rsidR="00833992" w:rsidRDefault="00833992">
    <w:pPr>
      <w:pStyle w:val="Header"/>
      <w:jc w:val="right"/>
      <w:rPr>
        <w:i/>
        <w:iCs/>
        <w:sz w:val="16"/>
      </w:rPr>
    </w:pPr>
  </w:p>
  <w:p w:rsidR="00833992" w:rsidRDefault="00833992">
    <w:pPr>
      <w:pStyle w:val="Header"/>
      <w:jc w:val="right"/>
      <w:rPr>
        <w:i/>
        <w:iCs/>
        <w:sz w:val="18"/>
      </w:rPr>
    </w:pPr>
  </w:p>
  <w:p w:rsidR="00833992" w:rsidRDefault="00833992" w:rsidP="00D673AE">
    <w:pPr>
      <w:pStyle w:val="Header"/>
      <w:tabs>
        <w:tab w:val="clear" w:pos="8640"/>
        <w:tab w:val="left" w:pos="9360"/>
      </w:tabs>
      <w:jc w:val="right"/>
      <w:rPr>
        <w:i/>
        <w:iCs/>
        <w:sz w:val="18"/>
      </w:rPr>
    </w:pPr>
    <w:r>
      <w:rPr>
        <w:i/>
        <w:iCs/>
        <w:sz w:val="18"/>
      </w:rPr>
      <w:t>Interservice/Industry Training, Simulation, and Education Conference (I/ITSEC)</w:t>
    </w:r>
  </w:p>
  <w:p w:rsidR="00833992" w:rsidRDefault="00833992" w:rsidP="00D673AE">
    <w:pPr>
      <w:pStyle w:val="Header"/>
      <w:tabs>
        <w:tab w:val="clear" w:pos="8640"/>
        <w:tab w:val="left" w:pos="9360"/>
      </w:tabs>
      <w:jc w:val="right"/>
      <w:rPr>
        <w:i/>
        <w:iCs/>
        <w:sz w:val="18"/>
      </w:rPr>
    </w:pPr>
  </w:p>
  <w:p w:rsidR="00833992" w:rsidRDefault="00833992"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26C73"/>
    <w:rsid w:val="00030052"/>
    <w:rsid w:val="000438E0"/>
    <w:rsid w:val="0004545F"/>
    <w:rsid w:val="000614D9"/>
    <w:rsid w:val="00075F9C"/>
    <w:rsid w:val="00080A72"/>
    <w:rsid w:val="00090EB0"/>
    <w:rsid w:val="00096BE4"/>
    <w:rsid w:val="000A3972"/>
    <w:rsid w:val="000C1512"/>
    <w:rsid w:val="000C6F43"/>
    <w:rsid w:val="000F0A01"/>
    <w:rsid w:val="000F48FF"/>
    <w:rsid w:val="0012676B"/>
    <w:rsid w:val="00130A88"/>
    <w:rsid w:val="0013570D"/>
    <w:rsid w:val="0017209F"/>
    <w:rsid w:val="00191E9F"/>
    <w:rsid w:val="001F10E6"/>
    <w:rsid w:val="00210274"/>
    <w:rsid w:val="00237064"/>
    <w:rsid w:val="0024319D"/>
    <w:rsid w:val="0026778E"/>
    <w:rsid w:val="002B1015"/>
    <w:rsid w:val="002C07E1"/>
    <w:rsid w:val="002D2F03"/>
    <w:rsid w:val="002E0D92"/>
    <w:rsid w:val="00303E6A"/>
    <w:rsid w:val="003528BA"/>
    <w:rsid w:val="00363056"/>
    <w:rsid w:val="00366A3F"/>
    <w:rsid w:val="003845B4"/>
    <w:rsid w:val="003B3441"/>
    <w:rsid w:val="003B6711"/>
    <w:rsid w:val="003D41A9"/>
    <w:rsid w:val="003F0C8B"/>
    <w:rsid w:val="00410DBD"/>
    <w:rsid w:val="004527E7"/>
    <w:rsid w:val="00466670"/>
    <w:rsid w:val="004A61A8"/>
    <w:rsid w:val="004B4C30"/>
    <w:rsid w:val="004D0D2F"/>
    <w:rsid w:val="004E7758"/>
    <w:rsid w:val="004F20EF"/>
    <w:rsid w:val="004F6AD7"/>
    <w:rsid w:val="00544830"/>
    <w:rsid w:val="00561F5F"/>
    <w:rsid w:val="0057288A"/>
    <w:rsid w:val="00573CFD"/>
    <w:rsid w:val="005841E9"/>
    <w:rsid w:val="00585C09"/>
    <w:rsid w:val="00585D65"/>
    <w:rsid w:val="005A4377"/>
    <w:rsid w:val="005A5159"/>
    <w:rsid w:val="005D24D9"/>
    <w:rsid w:val="005F112E"/>
    <w:rsid w:val="0061526C"/>
    <w:rsid w:val="00635719"/>
    <w:rsid w:val="0065511C"/>
    <w:rsid w:val="00656380"/>
    <w:rsid w:val="00664960"/>
    <w:rsid w:val="00670F83"/>
    <w:rsid w:val="006725F6"/>
    <w:rsid w:val="00676033"/>
    <w:rsid w:val="0067698F"/>
    <w:rsid w:val="00695623"/>
    <w:rsid w:val="006A35E2"/>
    <w:rsid w:val="006A4CC1"/>
    <w:rsid w:val="006C41AE"/>
    <w:rsid w:val="006F2545"/>
    <w:rsid w:val="00702873"/>
    <w:rsid w:val="00753E96"/>
    <w:rsid w:val="00777826"/>
    <w:rsid w:val="007A31A8"/>
    <w:rsid w:val="007A7795"/>
    <w:rsid w:val="007B2345"/>
    <w:rsid w:val="007C4F55"/>
    <w:rsid w:val="007E31A5"/>
    <w:rsid w:val="007E4C7A"/>
    <w:rsid w:val="00802811"/>
    <w:rsid w:val="00817A23"/>
    <w:rsid w:val="00833992"/>
    <w:rsid w:val="00861E0A"/>
    <w:rsid w:val="00883953"/>
    <w:rsid w:val="008C6203"/>
    <w:rsid w:val="008E1D62"/>
    <w:rsid w:val="008E698F"/>
    <w:rsid w:val="00900D21"/>
    <w:rsid w:val="009219A0"/>
    <w:rsid w:val="0096378A"/>
    <w:rsid w:val="009768DB"/>
    <w:rsid w:val="00987430"/>
    <w:rsid w:val="00991445"/>
    <w:rsid w:val="009A5B9A"/>
    <w:rsid w:val="009A67C9"/>
    <w:rsid w:val="009A714E"/>
    <w:rsid w:val="009B4FB0"/>
    <w:rsid w:val="009E6FFC"/>
    <w:rsid w:val="009F1672"/>
    <w:rsid w:val="009F564B"/>
    <w:rsid w:val="00A30402"/>
    <w:rsid w:val="00A61A88"/>
    <w:rsid w:val="00A61AAD"/>
    <w:rsid w:val="00A770E4"/>
    <w:rsid w:val="00A778BC"/>
    <w:rsid w:val="00AA7DA3"/>
    <w:rsid w:val="00AB7150"/>
    <w:rsid w:val="00AE2091"/>
    <w:rsid w:val="00AE48A4"/>
    <w:rsid w:val="00AF6425"/>
    <w:rsid w:val="00B03C93"/>
    <w:rsid w:val="00B077CA"/>
    <w:rsid w:val="00B15391"/>
    <w:rsid w:val="00B211F8"/>
    <w:rsid w:val="00B23A79"/>
    <w:rsid w:val="00B25938"/>
    <w:rsid w:val="00B730B4"/>
    <w:rsid w:val="00B82CD3"/>
    <w:rsid w:val="00B83E75"/>
    <w:rsid w:val="00B86C6C"/>
    <w:rsid w:val="00B9345F"/>
    <w:rsid w:val="00BC1F48"/>
    <w:rsid w:val="00BC3956"/>
    <w:rsid w:val="00BC720F"/>
    <w:rsid w:val="00BD15CD"/>
    <w:rsid w:val="00BF45D1"/>
    <w:rsid w:val="00C03066"/>
    <w:rsid w:val="00C54A62"/>
    <w:rsid w:val="00C661B4"/>
    <w:rsid w:val="00C77DC8"/>
    <w:rsid w:val="00C94E2F"/>
    <w:rsid w:val="00C95958"/>
    <w:rsid w:val="00CA385C"/>
    <w:rsid w:val="00CB5289"/>
    <w:rsid w:val="00CB5C8C"/>
    <w:rsid w:val="00CC062C"/>
    <w:rsid w:val="00CC0F65"/>
    <w:rsid w:val="00CC13A4"/>
    <w:rsid w:val="00D33BE5"/>
    <w:rsid w:val="00D424E7"/>
    <w:rsid w:val="00D55CFF"/>
    <w:rsid w:val="00D673AE"/>
    <w:rsid w:val="00D70744"/>
    <w:rsid w:val="00D71D60"/>
    <w:rsid w:val="00DB266D"/>
    <w:rsid w:val="00DC5142"/>
    <w:rsid w:val="00DD5F06"/>
    <w:rsid w:val="00E00076"/>
    <w:rsid w:val="00E04504"/>
    <w:rsid w:val="00E16F2C"/>
    <w:rsid w:val="00E6555F"/>
    <w:rsid w:val="00E83309"/>
    <w:rsid w:val="00E9493B"/>
    <w:rsid w:val="00EB12F0"/>
    <w:rsid w:val="00EB50FD"/>
    <w:rsid w:val="00EC2AE7"/>
    <w:rsid w:val="00ED3088"/>
    <w:rsid w:val="00ED56A9"/>
    <w:rsid w:val="00EF6073"/>
    <w:rsid w:val="00F03283"/>
    <w:rsid w:val="00F16464"/>
    <w:rsid w:val="00F264AB"/>
    <w:rsid w:val="00F33E61"/>
    <w:rsid w:val="00F35D72"/>
    <w:rsid w:val="00F80285"/>
    <w:rsid w:val="00FA1886"/>
    <w:rsid w:val="00FC6724"/>
    <w:rsid w:val="00FE0519"/>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C3E1FE2-3C30-4CE9-B42C-465C511A9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8743</Words>
  <Characters>49841</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58468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MCD</dc:creator>
  <cp:lastModifiedBy>DaveBarnhill</cp:lastModifiedBy>
  <cp:revision>2</cp:revision>
  <cp:lastPrinted>2020-02-22T20:17:00Z</cp:lastPrinted>
  <dcterms:created xsi:type="dcterms:W3CDTF">2020-05-11T05:04:00Z</dcterms:created>
  <dcterms:modified xsi:type="dcterms:W3CDTF">2020-05-11T05:04:00Z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